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E5E81C" w14:textId="77777777" w:rsidR="00131286" w:rsidRDefault="00D80299">
      <w:pPr>
        <w:pStyle w:val="Title"/>
      </w:pPr>
      <w:r>
        <w:t>Predicting prolonged apnea during nurse-administered procedural sedation using machine learning</w:t>
      </w:r>
    </w:p>
    <w:p w14:paraId="2606378A" w14:textId="77777777" w:rsidR="00131286" w:rsidRDefault="00D80299">
      <w:pPr>
        <w:pStyle w:val="Author"/>
      </w:pPr>
      <w:r>
        <w:t>Aaron Conway PhD</w:t>
      </w:r>
      <w:r>
        <w:rPr>
          <w:vertAlign w:val="superscript"/>
        </w:rPr>
        <w:t>1,2,3,✉</w:t>
      </w:r>
      <w:r>
        <w:t>, Carla Jungquist PhD</w:t>
      </w:r>
      <w:r>
        <w:rPr>
          <w:vertAlign w:val="superscript"/>
        </w:rPr>
        <w:t>4</w:t>
      </w:r>
      <w:r>
        <w:t>, Kristina Chang MScN</w:t>
      </w:r>
      <w:r>
        <w:rPr>
          <w:vertAlign w:val="superscript"/>
        </w:rPr>
        <w:t>1</w:t>
      </w:r>
      <w:r>
        <w:t>, Navpreet Kamboj BScN</w:t>
      </w:r>
      <w:r>
        <w:rPr>
          <w:vertAlign w:val="superscript"/>
        </w:rPr>
        <w:t>2</w:t>
      </w:r>
      <w:r>
        <w:t>, Joanna Sutherland MBBS</w:t>
      </w:r>
      <w:r>
        <w:rPr>
          <w:vertAlign w:val="superscript"/>
        </w:rPr>
        <w:t>5</w:t>
      </w:r>
      <w:r>
        <w:t>, Sebastian Mafeld</w:t>
      </w:r>
      <w:r>
        <w:rPr>
          <w:vertAlign w:val="superscript"/>
        </w:rPr>
        <w:t>6</w:t>
      </w:r>
      <w:r>
        <w:t xml:space="preserve">, and </w:t>
      </w:r>
      <w:r>
        <w:t>Matteo Parotto MD, PhD</w:t>
      </w:r>
      <w:r>
        <w:rPr>
          <w:vertAlign w:val="superscript"/>
        </w:rPr>
        <w:t>7,8</w:t>
      </w:r>
    </w:p>
    <w:p w14:paraId="578D79E8" w14:textId="77777777" w:rsidR="00131286" w:rsidRDefault="00D80299">
      <w:pPr>
        <w:pStyle w:val="FirstParagraph"/>
      </w:pPr>
      <w:r>
        <w:rPr>
          <w:vertAlign w:val="superscript"/>
        </w:rPr>
        <w:t>1</w:t>
      </w:r>
      <w:r>
        <w:t xml:space="preserve"> Peter Munk Cardiac Centre, University Health Network, Toronto, Canada</w:t>
      </w:r>
      <w:r>
        <w:br/>
      </w:r>
      <w:r>
        <w:rPr>
          <w:vertAlign w:val="superscript"/>
        </w:rPr>
        <w:t>2</w:t>
      </w:r>
      <w:r>
        <w:t xml:space="preserve"> Lawrence S. Bloomberg Faculty of Nursing, University of Toronto, Toronto, Canada</w:t>
      </w:r>
      <w:r>
        <w:br/>
      </w:r>
      <w:r>
        <w:rPr>
          <w:vertAlign w:val="superscript"/>
        </w:rPr>
        <w:t>3</w:t>
      </w:r>
      <w:r>
        <w:t xml:space="preserve"> School of Nursing, Queensland University of Technology (QUT), Brisbane, A</w:t>
      </w:r>
      <w:r>
        <w:t>ustralia</w:t>
      </w:r>
      <w:r>
        <w:br/>
      </w:r>
      <w:r>
        <w:rPr>
          <w:vertAlign w:val="superscript"/>
        </w:rPr>
        <w:t>4</w:t>
      </w:r>
      <w:r>
        <w:t xml:space="preserve"> The University of Buffalo, Buffalo, New York, USA</w:t>
      </w:r>
      <w:r>
        <w:br/>
      </w:r>
      <w:r>
        <w:rPr>
          <w:vertAlign w:val="superscript"/>
        </w:rPr>
        <w:t>5</w:t>
      </w:r>
      <w:r>
        <w:t xml:space="preserve"> Rural Clinical School, University of New South Wales, Coffs Harbour, NSW, Australia</w:t>
      </w:r>
      <w:r>
        <w:br/>
      </w:r>
      <w:r>
        <w:rPr>
          <w:vertAlign w:val="superscript"/>
        </w:rPr>
        <w:t>6</w:t>
      </w:r>
      <w:r>
        <w:t xml:space="preserve"> Interventional Radiology, JDMI, Toronto General Hospital</w:t>
      </w:r>
      <w:r>
        <w:br/>
      </w:r>
      <w:r>
        <w:rPr>
          <w:vertAlign w:val="superscript"/>
        </w:rPr>
        <w:t>7</w:t>
      </w:r>
      <w:r>
        <w:t xml:space="preserve"> Department of Anesthesia and Pain Management, To</w:t>
      </w:r>
      <w:r>
        <w:t>ronto General Hospital, UHN, Toronto, Canada</w:t>
      </w:r>
      <w:r>
        <w:br/>
      </w:r>
      <w:r>
        <w:rPr>
          <w:vertAlign w:val="superscript"/>
        </w:rPr>
        <w:t>8</w:t>
      </w:r>
      <w:r>
        <w:t xml:space="preserve"> Department of Anesthesiology and Pain Medicine and Interdepartmental Division of Critical Care Medicine, University of Toronto, Toronto, Canada</w:t>
      </w:r>
    </w:p>
    <w:p w14:paraId="698A8BC6" w14:textId="77777777" w:rsidR="00131286" w:rsidRDefault="00D80299">
      <w:pPr>
        <w:pStyle w:val="BodyText"/>
      </w:pPr>
      <w:r>
        <w:rPr>
          <w:vertAlign w:val="superscript"/>
        </w:rPr>
        <w:t>✉</w:t>
      </w:r>
      <w:r>
        <w:t xml:space="preserve"> Correspondence: </w:t>
      </w:r>
      <w:hyperlink r:id="rId7">
        <w:r>
          <w:rPr>
            <w:rStyle w:val="Hyperlink"/>
          </w:rPr>
          <w:t>Aaron Conway PhD &lt;</w:t>
        </w:r>
        <w:hyperlink r:id="rId8">
          <w:r>
            <w:rPr>
              <w:rStyle w:val="Hyperlink"/>
            </w:rPr>
            <w:t>aaron.conway@utoronto.ca</w:t>
          </w:r>
        </w:hyperlink>
        <w:r>
          <w:rPr>
            <w:rStyle w:val="Hyperlink"/>
          </w:rPr>
          <w:t>&gt;  | +1 416 946 7112  | 585 University Ave | Toronto, ON M5G 2N2</w:t>
        </w:r>
      </w:hyperlink>
    </w:p>
    <w:p w14:paraId="03212A9D" w14:textId="77777777" w:rsidR="00131286" w:rsidRDefault="00D80299">
      <w:pPr>
        <w:pStyle w:val="Heading2"/>
      </w:pPr>
      <w:bookmarkStart w:id="0" w:name="abstract"/>
      <w:r>
        <w:lastRenderedPageBreak/>
        <w:t>Abstract</w:t>
      </w:r>
    </w:p>
    <w:p w14:paraId="2A6C69EE" w14:textId="77777777" w:rsidR="00131286" w:rsidRDefault="00D80299">
      <w:pPr>
        <w:pStyle w:val="Heading3"/>
      </w:pPr>
      <w:bookmarkStart w:id="1" w:name="background"/>
      <w:r>
        <w:t>Background</w:t>
      </w:r>
    </w:p>
    <w:p w14:paraId="1C289F57" w14:textId="77777777" w:rsidR="00131286" w:rsidRDefault="00D80299">
      <w:pPr>
        <w:pStyle w:val="FirstParagraph"/>
      </w:pPr>
      <w:r>
        <w:t>Capnography is commonly used for nurse-administered procedural sedation. D</w:t>
      </w:r>
      <w:r>
        <w:t>eciphering which capnography waveform abnormalities deserve intervention, and therefore alarms to signal the event to clinicians, from those that do not is an essential step towards successfully implementing this technology into practice. It is possible th</w:t>
      </w:r>
      <w:r>
        <w:t>at capnography alarm management may be improved by using machine learning to create a ‘smart alarm’ that can alert clinicians for apneic events that are predicted to be prolonged.</w:t>
      </w:r>
    </w:p>
    <w:p w14:paraId="5D7588D9" w14:textId="77777777" w:rsidR="00131286" w:rsidRDefault="00D80299">
      <w:pPr>
        <w:pStyle w:val="Heading3"/>
      </w:pPr>
      <w:bookmarkStart w:id="2" w:name="objective"/>
      <w:bookmarkEnd w:id="1"/>
      <w:r>
        <w:t>Objective</w:t>
      </w:r>
    </w:p>
    <w:p w14:paraId="010FC82C" w14:textId="77777777" w:rsidR="00131286" w:rsidRDefault="00D80299">
      <w:pPr>
        <w:pStyle w:val="FirstParagraph"/>
      </w:pPr>
      <w:r>
        <w:t>To determine the accuracy of machine learning models for predictin</w:t>
      </w:r>
      <w:r>
        <w:t>g, at the 15-second time point, if apnea will be prolonged (defined as apnea that persisted for 30 seconds or more).</w:t>
      </w:r>
    </w:p>
    <w:p w14:paraId="557F0392" w14:textId="77777777" w:rsidR="00131286" w:rsidRDefault="00D80299">
      <w:pPr>
        <w:pStyle w:val="Heading3"/>
      </w:pPr>
      <w:bookmarkStart w:id="3" w:name="methods"/>
      <w:bookmarkEnd w:id="2"/>
      <w:r>
        <w:t>Methods</w:t>
      </w:r>
    </w:p>
    <w:p w14:paraId="04B8CBBD" w14:textId="77777777" w:rsidR="00131286" w:rsidRDefault="00D80299">
      <w:pPr>
        <w:pStyle w:val="FirstParagraph"/>
      </w:pPr>
      <w:r>
        <w:t xml:space="preserve">A secondary analysis of an observational study was conducted. We selected several candidate models to evaluate, including a random </w:t>
      </w:r>
      <w:r>
        <w:t>forest model, generalized linear model (logistic regression), lasso regression, ridge regression and the XGBoost model. Out of sample accuracy of the models was calculated using 10-fold cross-validation. The net benefit decision analytic measure was used t</w:t>
      </w:r>
      <w:r>
        <w:t xml:space="preserve">o assist with deciding whether using the models in practice would lead to better outcomes on average than the default capnography alarm management strategies currently in place. The default strategies </w:t>
      </w:r>
      <w:r>
        <w:lastRenderedPageBreak/>
        <w:t>are: 1) the aggressive approach, which involves trigger</w:t>
      </w:r>
      <w:r>
        <w:t>ing an alarm after brief periods of apnea (typically 15 seconds); and 2) the conservative approach, which involves triggering an alarm for only prolonged periods of apnea (typically 30 seconds).</w:t>
      </w:r>
    </w:p>
    <w:p w14:paraId="406CCC7B" w14:textId="77777777" w:rsidR="00131286" w:rsidRDefault="00D80299">
      <w:pPr>
        <w:pStyle w:val="Heading3"/>
      </w:pPr>
      <w:bookmarkStart w:id="4" w:name="results"/>
      <w:bookmarkEnd w:id="3"/>
      <w:r>
        <w:t>Results</w:t>
      </w:r>
    </w:p>
    <w:p w14:paraId="28ED54B7" w14:textId="77777777" w:rsidR="00131286" w:rsidRDefault="00D80299">
      <w:pPr>
        <w:pStyle w:val="FirstParagraph"/>
      </w:pPr>
      <w:r>
        <w:t>A total of 384 apneas longer than 15 seconds were obs</w:t>
      </w:r>
      <w:r>
        <w:t>erved in 61 of the 102 patients who participated in the observational study. Nearly half of the apneas (n=180) were prolonged. The random forest had the best discrimination (AUROC 0.66) and calibration. Net benefit associated with the random forest model e</w:t>
      </w:r>
      <w:r>
        <w:t>xceeded the aggressive alarm management strategy but was lower than the conservative alarm management strategy.</w:t>
      </w:r>
    </w:p>
    <w:p w14:paraId="33D7B5A4" w14:textId="77777777" w:rsidR="00131286" w:rsidRDefault="00D80299">
      <w:pPr>
        <w:pStyle w:val="Heading3"/>
      </w:pPr>
      <w:bookmarkStart w:id="5" w:name="conclusion"/>
      <w:bookmarkEnd w:id="4"/>
      <w:r>
        <w:t>Conclusion</w:t>
      </w:r>
    </w:p>
    <w:p w14:paraId="75602127" w14:textId="77777777" w:rsidR="00131286" w:rsidRDefault="00D80299">
      <w:pPr>
        <w:pStyle w:val="FirstParagraph"/>
      </w:pPr>
      <w:r>
        <w:t>Decision curve analysis indicated that using a random forest model would lead to a better outcome for capnography alarm management co</w:t>
      </w:r>
      <w:r>
        <w:t>mpared to an aggressive strategy where alarms are triggered after 15 seconds of apnea. The model would not be superior to the conservative strategy, where alarms are only triggered after 30 seconds.</w:t>
      </w:r>
    </w:p>
    <w:p w14:paraId="03E4C770" w14:textId="77777777" w:rsidR="00131286" w:rsidRDefault="00D80299">
      <w:pPr>
        <w:pStyle w:val="BodyText"/>
      </w:pPr>
      <w:r>
        <w:rPr>
          <w:b/>
          <w:bCs/>
        </w:rPr>
        <w:t>Keywords</w:t>
      </w:r>
    </w:p>
    <w:p w14:paraId="7AC3C74F" w14:textId="77777777" w:rsidR="00131286" w:rsidRDefault="00D80299">
      <w:pPr>
        <w:pStyle w:val="BodyText"/>
      </w:pPr>
      <w:r>
        <w:t>Procedural sedation and analgesia; conscious sed</w:t>
      </w:r>
      <w:r>
        <w:t>ation; nursing; informatics; patient safety; machine learning; capnography; anesthesia</w:t>
      </w:r>
    </w:p>
    <w:p w14:paraId="43C227AC" w14:textId="77777777" w:rsidR="00131286" w:rsidRDefault="00D80299">
      <w:r>
        <w:br w:type="page"/>
      </w:r>
    </w:p>
    <w:p w14:paraId="0A78C2A3" w14:textId="77777777" w:rsidR="00131286" w:rsidRDefault="00D80299">
      <w:pPr>
        <w:pStyle w:val="Heading2"/>
      </w:pPr>
      <w:bookmarkStart w:id="6" w:name="introduction"/>
      <w:bookmarkEnd w:id="0"/>
      <w:bookmarkEnd w:id="5"/>
      <w:r>
        <w:lastRenderedPageBreak/>
        <w:t>Introduction</w:t>
      </w:r>
    </w:p>
    <w:p w14:paraId="55CF8FD3" w14:textId="77777777" w:rsidR="00131286" w:rsidRDefault="00D80299">
      <w:pPr>
        <w:pStyle w:val="FirstParagraph"/>
      </w:pPr>
      <w:r>
        <w:t xml:space="preserve">With the recent increase in electronic monitoring devices in the hospital setting, alarm fatigue has become a serious problem that impacts patient safety </w:t>
      </w:r>
      <w:r>
        <w:t>and nursing care.[1] Alarm fatigue is caused by exposure to excessive and frequent device alarms and consequently becoming desensitized to them. Alarm fatigue has been linked to patient deaths resulting from clinicians becoming desensitized to alarms leadi</w:t>
      </w:r>
      <w:r>
        <w:t>ng to delayed responses to clinical deterioration.[2] One of the sources of alarms is the capnography device that is used to measure and monitor patients’ ventilation.</w:t>
      </w:r>
    </w:p>
    <w:p w14:paraId="16CD7CBA" w14:textId="77777777" w:rsidR="00131286" w:rsidRDefault="00D80299">
      <w:pPr>
        <w:pStyle w:val="BodyText"/>
      </w:pPr>
      <w:r>
        <w:t>A capnography waveform displays the level of expired carbon dioxide (CO</w:t>
      </w:r>
      <w:r>
        <w:rPr>
          <w:vertAlign w:val="subscript"/>
        </w:rPr>
        <w:t>2</w:t>
      </w:r>
      <w:r>
        <w:t>) over time to s</w:t>
      </w:r>
      <w:r>
        <w:t>how changes in concentrations throughout the respiratory cycle. Capnography waveform abnormalities assist in detecting and diagnosing specific conditions, such as partial airway obstruction and apnea. For this reason, implementing capnography into practice</w:t>
      </w:r>
      <w:r>
        <w:t xml:space="preserve"> for respiratory monitoring is considered a high priority to improve patient safety by leading authorities, including national and international professional organizations for anesthesiology in Canada, the United States, and Europe.[3–5] It is commonly use</w:t>
      </w:r>
      <w:r>
        <w:t>d for nurse-administered procedural sedation, [6–8] including in the interventional radiology setting.[9–13]</w:t>
      </w:r>
    </w:p>
    <w:p w14:paraId="6436B4B3" w14:textId="77777777" w:rsidR="00131286" w:rsidRDefault="00D80299">
      <w:pPr>
        <w:pStyle w:val="BodyText"/>
      </w:pPr>
      <w:r>
        <w:t xml:space="preserve">Deciphering which capnography waveform abnormalities deserve intervention (and therefore alarms to signal the event to clinicians) from those that </w:t>
      </w:r>
      <w:r>
        <w:t>do not is an essential step towards successfully implementing this technology into practice. For example, triggering alarms after short periods of apnea leads to frequent interruptions and potentially increases the risk of alarm fatigue. Conversely, only i</w:t>
      </w:r>
      <w:r>
        <w:t xml:space="preserve">ntervening once an </w:t>
      </w:r>
      <w:r>
        <w:lastRenderedPageBreak/>
        <w:t>apneic period reaches a longer threshold negates capnography’s potential benefits on patient safety by improving ventilation. In practice, two alternative strategies for capnography alarm management are typically used. The ‘aggressive’ s</w:t>
      </w:r>
      <w:r>
        <w:t>trategy is for alarms to be triggered after short periods of apnea (e.g. 15 seconds). The ‘conservative’ approach triggers the alarm only once the patient has been apneic for a prolonged period (e.g. 30 seconds). Preferences for the aggressive or conservat</w:t>
      </w:r>
      <w:r>
        <w:t>ive alarm threshold will be influenced by many factors, including the rate of oxygen supplmentation. The duration of time between the onset of apnea to hypoxemia increases with higher flows of oxygen.[14]</w:t>
      </w:r>
    </w:p>
    <w:p w14:paraId="21BF1BA9" w14:textId="77777777" w:rsidR="00131286" w:rsidRDefault="00D80299">
      <w:pPr>
        <w:pStyle w:val="BodyText"/>
      </w:pPr>
      <w:r>
        <w:t>It is possible that capnography alarm management ma</w:t>
      </w:r>
      <w:r>
        <w:t>y be improved by using machine learning to create a ‘smart alarm’ that can alert clinicians for apneic events that are predicted to be prolonged. Such an approach aligns with a call from The Society for Critical Care Medicine Alarm and Alert Fatigue Task F</w:t>
      </w:r>
      <w:r>
        <w:t>orce, that machine learning techniques should be used to advance the quality of alerts that clinicians receive and to individualize alert delivery based on clinician response characteristics, such as alert frequency and severity.[15]</w:t>
      </w:r>
    </w:p>
    <w:p w14:paraId="3B94D3B3" w14:textId="77777777" w:rsidR="00131286" w:rsidRDefault="00D80299">
      <w:pPr>
        <w:pStyle w:val="BodyText"/>
      </w:pPr>
      <w:r>
        <w:t>For the aggressive str</w:t>
      </w:r>
      <w:r>
        <w:t>ategy, only triggering an alarm for apneas predicted to be prolonged would reduce the total alarm burden and potentially reduce the risk of alarm fatigue. The downside of applying a machine learning approach to the aggressive apnea treatment strategy would</w:t>
      </w:r>
      <w:r>
        <w:t xml:space="preserve"> be that some prolonged apneas may not receive early intervention if the model incorrectly predicted that the apnea will not last for &gt;30 seconds (i.e. the false negatives). For the conservative strategy, triggering an alarm at the 15-second timepoint for </w:t>
      </w:r>
      <w:r>
        <w:t xml:space="preserve">apneas predicted to be prolonged could reduce the total </w:t>
      </w:r>
      <w:r>
        <w:lastRenderedPageBreak/>
        <w:t>time of apnea, as treatment could be initiated earlier. The downside of applying a machine learning approach to the conservative apnea treatment strategy would be the potential to increase the total a</w:t>
      </w:r>
      <w:r>
        <w:t>larm burden if the ratio of false positives (predicting the apnea will last for &gt;30 seconds, but it does not) to true positives (correctly predicting at the 15-second time point that the apnea will last for &gt;30 seconds) is high. This study aimed to determi</w:t>
      </w:r>
      <w:r>
        <w:t>ne the accuracy of machine learning models for predicting at the 15-second timepoint if a period of apnea will persist for 30 seconds or more. This information would help to determine whether operationalizing these predictions in practice as alarm triggers</w:t>
      </w:r>
      <w:r>
        <w:t xml:space="preserve"> would be beneficial.</w:t>
      </w:r>
    </w:p>
    <w:p w14:paraId="578A416F" w14:textId="77777777" w:rsidR="00131286" w:rsidRDefault="00D80299">
      <w:pPr>
        <w:pStyle w:val="Heading2"/>
      </w:pPr>
      <w:bookmarkStart w:id="7" w:name="methods-1"/>
      <w:bookmarkEnd w:id="6"/>
      <w:r>
        <w:t>Methods</w:t>
      </w:r>
    </w:p>
    <w:p w14:paraId="6DFD1D22" w14:textId="77777777" w:rsidR="00131286" w:rsidRDefault="00D80299">
      <w:pPr>
        <w:pStyle w:val="FirstParagraph"/>
      </w:pPr>
      <w:r>
        <w:t>A secondary analysis of a prospective observational study was undertaken. The primary aim of the observational study was to identify common patterns in capnography waveform abnormalities and factors that influence these patter</w:t>
      </w:r>
      <w:r>
        <w:t xml:space="preserve">ns. Results for the primary aim of the observational study are reported elsewhere.[16] All participants provided written informed consent and the study was approved by human research ethics committees (UCH HREC 1614; SVHAC HREC 16/26; QUT 1600000641). The </w:t>
      </w:r>
      <w:r>
        <w:t>study was undertaken in accordance with the Australian National Statement on Ethical Conduct in Human Research[17] and it was registered prospectively (ACTRN12616001132437).</w:t>
      </w:r>
    </w:p>
    <w:p w14:paraId="22538B14" w14:textId="77777777" w:rsidR="00131286" w:rsidRDefault="00D80299">
      <w:pPr>
        <w:pStyle w:val="Heading3"/>
      </w:pPr>
      <w:bookmarkStart w:id="8" w:name="prediction-goal"/>
      <w:r>
        <w:t>Prediction Goal</w:t>
      </w:r>
    </w:p>
    <w:p w14:paraId="7A0B3D21" w14:textId="77777777" w:rsidR="00131286" w:rsidRDefault="00D80299">
      <w:pPr>
        <w:pStyle w:val="FirstParagraph"/>
      </w:pPr>
      <w:r>
        <w:t xml:space="preserve">The prediction goal was to classify apneic events at the 15-second timepoint as either short (i.e. terminated prior to 30 seconds) or prolonged (persisted for 30 seconds or </w:t>
      </w:r>
      <w:r>
        <w:lastRenderedPageBreak/>
        <w:t>longer). The prediction algorithm was compared against typical default alarm settin</w:t>
      </w:r>
      <w:r>
        <w:t>gs for capnography monitors.</w:t>
      </w:r>
    </w:p>
    <w:p w14:paraId="1C35040A" w14:textId="77777777" w:rsidR="00131286" w:rsidRDefault="00D80299">
      <w:pPr>
        <w:pStyle w:val="Heading3"/>
      </w:pPr>
      <w:bookmarkStart w:id="9" w:name="participants"/>
      <w:bookmarkEnd w:id="8"/>
      <w:r>
        <w:t>Participants</w:t>
      </w:r>
    </w:p>
    <w:p w14:paraId="38E8C096" w14:textId="77777777" w:rsidR="00131286" w:rsidRDefault="00D80299">
      <w:pPr>
        <w:pStyle w:val="FirstParagraph"/>
      </w:pPr>
      <w:r>
        <w:t xml:space="preserve">Participants in the study were consecutive adult patients scheduled to undergo an elective procedure in the cardiac catheterization laboratory with moderate sedation. Patients with severe cognitive impairment (due to inability to provide informed consent) </w:t>
      </w:r>
      <w:r>
        <w:t>or unable to understand and speak English (if an interpreter was unavailable) were excluded. Data collection was performed at two urban private hospitals in Australia.</w:t>
      </w:r>
    </w:p>
    <w:p w14:paraId="543102DF" w14:textId="77777777" w:rsidR="00131286" w:rsidRDefault="00D80299">
      <w:pPr>
        <w:pStyle w:val="Heading3"/>
      </w:pPr>
      <w:bookmarkStart w:id="10" w:name="sedation-and-monitoring"/>
      <w:bookmarkEnd w:id="9"/>
      <w:r>
        <w:t>Sedation and monitoring</w:t>
      </w:r>
    </w:p>
    <w:p w14:paraId="774810AE" w14:textId="77777777" w:rsidR="00131286" w:rsidRDefault="00D80299">
      <w:pPr>
        <w:pStyle w:val="FirstParagraph"/>
      </w:pPr>
      <w:r>
        <w:t>The sedation regimen used for patients included in this study co</w:t>
      </w:r>
      <w:r>
        <w:t>mprised bolus doses of intravenous midazolam and fentanyl. Sedation was administered by nurses who were trained in advanced life support. Routine clinical monitoring included continuous cardiac rhythm and oxygen saturation monitoring as well as non-invasiv</w:t>
      </w:r>
      <w:r>
        <w:t>e blood pressure measurements every 5-10 minutes. The Respironics LoFlo sidestream CO</w:t>
      </w:r>
      <w:r>
        <w:rPr>
          <w:vertAlign w:val="subscript"/>
        </w:rPr>
        <w:t>2</w:t>
      </w:r>
      <w:r>
        <w:t xml:space="preserve"> sensor was used for capnography monitoring. A CO</w:t>
      </w:r>
      <w:r>
        <w:rPr>
          <w:vertAlign w:val="subscript"/>
        </w:rPr>
        <w:t>2</w:t>
      </w:r>
      <w:r>
        <w:t xml:space="preserve"> sampling cannula was inserted into the sideport of an oxygen face-mask or was integrated as a separate line for nasal c</w:t>
      </w:r>
      <w:r>
        <w:t>annulas. The capnography waveform was displayed on the main physiological monitoring screen. A default ‘No breaths detected’ alert was triggered for apnea, but no other audible or visual alarms were set for the capnography monitor. No restrictions or speci</w:t>
      </w:r>
      <w:r>
        <w:t>fic instructions were provided to clinicians regarding the detection of capnography waveform abnormalities as part of the research protocol because the study used an observational design.</w:t>
      </w:r>
    </w:p>
    <w:p w14:paraId="22B4E417" w14:textId="77777777" w:rsidR="00131286" w:rsidRDefault="00D80299">
      <w:pPr>
        <w:pStyle w:val="Heading3"/>
      </w:pPr>
      <w:bookmarkStart w:id="11" w:name="data-collection"/>
      <w:bookmarkEnd w:id="10"/>
      <w:r>
        <w:lastRenderedPageBreak/>
        <w:t>Data collection</w:t>
      </w:r>
    </w:p>
    <w:p w14:paraId="109F0A05" w14:textId="77777777" w:rsidR="00131286" w:rsidRDefault="00D80299">
      <w:pPr>
        <w:pStyle w:val="FirstParagraph"/>
      </w:pPr>
      <w:r>
        <w:t>Demographic data and clinical characteristics were c</w:t>
      </w:r>
      <w:r>
        <w:t>ollected from medical records and self-report questionnaires prior to procedures. Intra-procedural data were collected in real-time by the researcher who was present in the procedure room. Direct observation of the participant was required to record the ti</w:t>
      </w:r>
      <w:r>
        <w:t>ming of sedation administrations and any interventions applied by sedation providers.</w:t>
      </w:r>
    </w:p>
    <w:p w14:paraId="4050161E" w14:textId="77777777" w:rsidR="00131286" w:rsidRDefault="00D80299">
      <w:pPr>
        <w:pStyle w:val="Heading3"/>
      </w:pPr>
      <w:bookmarkStart w:id="12" w:name="predictor-variables"/>
      <w:bookmarkEnd w:id="11"/>
      <w:r>
        <w:t>Predictor variables</w:t>
      </w:r>
    </w:p>
    <w:p w14:paraId="5B6D4E7E" w14:textId="77777777" w:rsidR="00131286" w:rsidRDefault="00D80299">
      <w:pPr>
        <w:pStyle w:val="FirstParagraph"/>
      </w:pPr>
      <w:r>
        <w:t>Several raw demographic (age, sex) and clinical (ASA score, diagnosis of sleep apnea, body mass index, dose and type of sedation and analgesia adminis</w:t>
      </w:r>
      <w:r>
        <w:t>tered) variables were used as predictors. Features related to sedation dosing used as predictors in the model were the total dose of sedation and number of doses of sedation administered, time since first sedation and the time since the previous dose of se</w:t>
      </w:r>
      <w:r>
        <w:t xml:space="preserve">dation. Other features were extracted from the capnography waveform to use as predictors, such as the previous respiratory state (defined as either normal breathing or abnormal), duration of the previous apneic event, time since the previous apneic event, </w:t>
      </w:r>
      <w:r>
        <w:t>and the total number of apneic events. A total of 18 predictor variables were used.</w:t>
      </w:r>
    </w:p>
    <w:p w14:paraId="0B693090" w14:textId="77777777" w:rsidR="00131286" w:rsidRDefault="00D80299">
      <w:pPr>
        <w:pStyle w:val="Heading3"/>
      </w:pPr>
      <w:bookmarkStart w:id="13" w:name="statistical-analysis"/>
      <w:bookmarkEnd w:id="12"/>
      <w:r>
        <w:t>Statistical analysis</w:t>
      </w:r>
    </w:p>
    <w:p w14:paraId="5D78B04B" w14:textId="77777777" w:rsidR="00131286" w:rsidRDefault="00D80299">
      <w:pPr>
        <w:pStyle w:val="FirstParagraph"/>
      </w:pPr>
      <w:r>
        <w:t>Analyses were performed using R version 4.0.3.[18] Data as well as details about how to access the code and a reproducible computing environment requir</w:t>
      </w:r>
      <w:r>
        <w:t>ed to verify the results is available.[19,20]</w:t>
      </w:r>
    </w:p>
    <w:p w14:paraId="7A101EFC" w14:textId="77777777" w:rsidR="00131286" w:rsidRDefault="00D80299">
      <w:pPr>
        <w:pStyle w:val="Heading4"/>
      </w:pPr>
      <w:bookmarkStart w:id="14" w:name="modelling"/>
      <w:r>
        <w:lastRenderedPageBreak/>
        <w:t>Modelling</w:t>
      </w:r>
    </w:p>
    <w:p w14:paraId="57819F68" w14:textId="77777777" w:rsidR="00131286" w:rsidRDefault="00D80299">
      <w:pPr>
        <w:pStyle w:val="FirstParagraph"/>
      </w:pPr>
      <w:r>
        <w:t>We selected several candidate models to evaluate, including a random forest model, generalized linear model (logistic regression), lasso regression, ridge regression, and the XGBoost model. Out of sam</w:t>
      </w:r>
      <w:r>
        <w:t>ple accuracy of the models was calculated using 10-fold cross-validation. Many participants in the study contributed multiple apneic events to the dataset used for modeling. To take this dependency into account, we ensured that apneic events from individua</w:t>
      </w:r>
      <w:r>
        <w:t>l participants were not included in both the training and testing partitions of the 10-fold cross-validation process. Pre-processing steps included normalizing numeric predictors and using an interaction term for the duration of the previous respiratory st</w:t>
      </w:r>
      <w:r>
        <w:t>ate and the total number of apneic events. Discriminative ability of the models was compared using the area under receiver operating characteristics curve (AUROC) as well as by plotting sensitivity, specificity, positive predictive values and negative pred</w:t>
      </w:r>
      <w:r>
        <w:t xml:space="preserve">ictive values (termed a threshold performance plot). A calibration plot with a loess smoother was used to assess calibration.[21] The </w:t>
      </w:r>
      <w:r>
        <w:rPr>
          <w:rStyle w:val="VerbatimChar"/>
        </w:rPr>
        <w:t>runway</w:t>
      </w:r>
      <w:r>
        <w:t xml:space="preserve"> package was used to create the plots.[22]</w:t>
      </w:r>
    </w:p>
    <w:p w14:paraId="22CD4E59" w14:textId="77777777" w:rsidR="00131286" w:rsidRDefault="00D80299">
      <w:pPr>
        <w:pStyle w:val="Heading4"/>
      </w:pPr>
      <w:bookmarkStart w:id="15" w:name="decision-curve-analysis"/>
      <w:bookmarkEnd w:id="14"/>
      <w:r>
        <w:t>Decision curve analysis</w:t>
      </w:r>
    </w:p>
    <w:p w14:paraId="39435F95" w14:textId="77777777" w:rsidR="00131286" w:rsidRDefault="00D80299">
      <w:pPr>
        <w:pStyle w:val="FirstParagraph"/>
      </w:pPr>
      <w:r>
        <w:t>We used the net benefit decision analytic measure</w:t>
      </w:r>
      <w:r>
        <w:t xml:space="preserve"> to assist with deciding whether using the models in practice would lead to better outcomes on average than the default capnography alarm management strategies currently in place. The default strategies are: 1) the aggressive approach, which involves trigg</w:t>
      </w:r>
      <w:r>
        <w:t xml:space="preserve">ering an alarm after brief periods of apnea (typically 15 seconds); and 2) the conservative approach, which involves </w:t>
      </w:r>
      <w:r>
        <w:lastRenderedPageBreak/>
        <w:t>triggering an alarm for only prolonged periods of apnea (typically 30 seconds). The net benefit is calculated using the formula:</w:t>
      </w:r>
    </w:p>
    <w:p w14:paraId="68B6BA42" w14:textId="77777777" w:rsidR="00131286" w:rsidRDefault="00D80299">
      <w:pPr>
        <w:pStyle w:val="BodyText"/>
      </w:pPr>
      <m:oMathPara>
        <m:oMathParaPr>
          <m:jc m:val="center"/>
        </m:oMathParaPr>
        <m:oMath>
          <m:r>
            <w:rPr>
              <w:rFonts w:ascii="Cambria Math" w:hAnsi="Cambria Math"/>
            </w:rPr>
            <m:t>NB</m:t>
          </m:r>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N</m:t>
              </m:r>
            </m:den>
          </m:f>
          <m:r>
            <m:rPr>
              <m:sty m:val="p"/>
            </m:rPr>
            <w:rPr>
              <w:rFonts w:ascii="Cambria Math" w:hAnsi="Cambria Math"/>
            </w:rPr>
            <m:t>-</m:t>
          </m:r>
          <m:f>
            <m:fPr>
              <m:ctrlPr>
                <w:rPr>
                  <w:rFonts w:ascii="Cambria Math" w:hAnsi="Cambria Math"/>
                </w:rPr>
              </m:ctrlPr>
            </m:fPr>
            <m:num>
              <m:r>
                <w:rPr>
                  <w:rFonts w:ascii="Cambria Math" w:hAnsi="Cambria Math"/>
                </w:rPr>
                <m:t>FP</m:t>
              </m:r>
            </m:num>
            <m:den>
              <m:r>
                <w:rPr>
                  <w:rFonts w:ascii="Cambria Math" w:hAnsi="Cambria Math"/>
                </w:rPr>
                <m:t>N</m:t>
              </m:r>
            </m:den>
          </m:f>
          <m:r>
            <m:rPr>
              <m:sty m:val="p"/>
            </m:rPr>
            <w:rPr>
              <w:rFonts w:ascii="Cambria Math" w:hAnsi="Cambria Math"/>
            </w:rPr>
            <m:t>×</m:t>
          </m:r>
          <m:f>
            <m:fPr>
              <m:ctrlPr>
                <w:rPr>
                  <w:rFonts w:ascii="Cambria Math" w:hAnsi="Cambria Math"/>
                </w:rPr>
              </m:ctrlPr>
            </m:fPr>
            <m:num>
              <m:r>
                <w:rPr>
                  <w:rFonts w:ascii="Cambria Math" w:hAnsi="Cambria Math"/>
                </w:rPr>
                <m:t>Pt</m:t>
              </m:r>
            </m:num>
            <m:den>
              <m:r>
                <w:rPr>
                  <w:rFonts w:ascii="Cambria Math" w:hAnsi="Cambria Math"/>
                </w:rPr>
                <m:t>1</m:t>
              </m:r>
              <m:r>
                <m:rPr>
                  <m:sty m:val="p"/>
                </m:rPr>
                <w:rPr>
                  <w:rFonts w:ascii="Cambria Math" w:hAnsi="Cambria Math"/>
                </w:rPr>
                <m:t>-</m:t>
              </m:r>
              <m:r>
                <w:rPr>
                  <w:rFonts w:ascii="Cambria Math" w:hAnsi="Cambria Math"/>
                </w:rPr>
                <m:t>Pt</m:t>
              </m:r>
            </m:den>
          </m:f>
        </m:oMath>
      </m:oMathPara>
    </w:p>
    <w:p w14:paraId="45145BBB" w14:textId="77777777" w:rsidR="00131286" w:rsidRDefault="00D80299">
      <w:pPr>
        <w:pStyle w:val="FirstParagraph"/>
      </w:pPr>
      <w:r>
        <w:t xml:space="preserve">Where </w:t>
      </w:r>
      <m:oMath>
        <m:r>
          <w:rPr>
            <w:rFonts w:ascii="Cambria Math" w:hAnsi="Cambria Math"/>
          </w:rPr>
          <m:t>NB</m:t>
        </m:r>
      </m:oMath>
      <w:r>
        <w:t xml:space="preserve"> is the net benefit, </w:t>
      </w:r>
      <m:oMath>
        <m:r>
          <w:rPr>
            <w:rFonts w:ascii="Cambria Math" w:hAnsi="Cambria Math"/>
          </w:rPr>
          <m:t>TP</m:t>
        </m:r>
      </m:oMath>
      <w:r>
        <w:t xml:space="preserve"> is the total number of true positives (apneic event at 15 seconds which was predicted to be prolonged and did persist for &gt;30 seconds), </w:t>
      </w:r>
      <m:oMath>
        <m:r>
          <w:rPr>
            <w:rFonts w:ascii="Cambria Math" w:hAnsi="Cambria Math"/>
          </w:rPr>
          <m:t>FP</m:t>
        </m:r>
      </m:oMath>
      <w:r>
        <w:t xml:space="preserve"> is the total number of false positives (apneic events at 15</w:t>
      </w:r>
      <w:r>
        <w:t xml:space="preserve"> seconds that was predicted to be prolonged but did not persist for &gt;30 seconds), </w:t>
      </w:r>
      <m:oMath>
        <m:r>
          <w:rPr>
            <w:rFonts w:ascii="Cambria Math" w:hAnsi="Cambria Math"/>
          </w:rPr>
          <m:t>N</m:t>
        </m:r>
      </m:oMath>
      <w:r>
        <w:t xml:space="preserve"> is the sample size (number of predictions made), and </w:t>
      </w:r>
      <m:oMath>
        <m:r>
          <w:rPr>
            <w:rFonts w:ascii="Cambria Math" w:hAnsi="Cambria Math"/>
          </w:rPr>
          <m:t>Pt</m:t>
        </m:r>
      </m:oMath>
      <w:r>
        <w:t xml:space="preserve"> is the probability threshold.</w:t>
      </w:r>
    </w:p>
    <w:p w14:paraId="390FE209" w14:textId="77777777" w:rsidR="00131286" w:rsidRDefault="00D80299">
      <w:pPr>
        <w:pStyle w:val="BodyText"/>
      </w:pPr>
      <w:r>
        <w:t>This formula essentially transforms the total number of true positives and false po</w:t>
      </w:r>
      <w:r>
        <w:t>sitives into a standardized scale, weighted by the relative harm of a false-positive result.[23] For example, a net benefit of 0.07 means the net benefit of using the model would be seven true positives from every 100 predictions from the model. This net b</w:t>
      </w:r>
      <w:r>
        <w:t xml:space="preserve">enefit can result from any combination of true positives and false positives.[24] A probability threshold of 0.5 indicates that avoiding a false positive is as important to a clinician as identifying a true positive. Preferences for probability thresholds </w:t>
      </w:r>
      <w:r>
        <w:t>below 0.5 are weighted such that identifying a true positive is more valuable than avoiding a false positive. Preferences for probability thresholds above 0.5 are weighted such that avoiding a false positive is more valuable than identifying a true positiv</w:t>
      </w:r>
      <w:r>
        <w:t xml:space="preserve">e. For example, for a </w:t>
      </w:r>
      <m:oMath>
        <m:r>
          <w:rPr>
            <w:rFonts w:ascii="Cambria Math" w:hAnsi="Cambria Math"/>
          </w:rPr>
          <m:t>Pt</m:t>
        </m:r>
      </m:oMath>
      <w:r>
        <w:t xml:space="preserve"> of 0.75, the ‘value’ of a false positive is three true positives (0.75/0.25 = 3). In other words, to create a net benefit from using the model at this probability threshold, there must be more than three true positives for every </w:t>
      </w:r>
      <w:r>
        <w:t xml:space="preserve">false positive prediction made from the model. Conversely, for a </w:t>
      </w:r>
      <m:oMath>
        <m:r>
          <w:rPr>
            <w:rFonts w:ascii="Cambria Math" w:hAnsi="Cambria Math"/>
          </w:rPr>
          <m:t>Pt</m:t>
        </m:r>
      </m:oMath>
      <w:r>
        <w:t xml:space="preserve"> of 0.25, the ‘value’ of a false positive is weighted far lower, at only </w:t>
      </w:r>
      <w:r>
        <w:lastRenderedPageBreak/>
        <w:t>a third of a true positive (0.25/0.75 = 0.33). This means that a net benefit would be achieved if there was more t</w:t>
      </w:r>
      <w:r>
        <w:t>han one true positive for every three false positives. Decision curves can be interpreted such that the strategy with the highest net benefit at each probability threshold has the highest clinical value.[24]</w:t>
      </w:r>
    </w:p>
    <w:p w14:paraId="315F4997" w14:textId="77777777" w:rsidR="00131286" w:rsidRDefault="00D80299">
      <w:pPr>
        <w:pStyle w:val="BodyText"/>
      </w:pPr>
      <w:r>
        <w:t>We created a decision curve to plot net benefits</w:t>
      </w:r>
      <w:r>
        <w:t xml:space="preserve"> across a range of probability thresholds for the aggressive alarm management strategy (alarm triggered at 15 seconds of apnea) and the conservative alarm management strategy (alarm triggered at 30 seconds of apnea). The decision curve takes into account t</w:t>
      </w:r>
      <w:r>
        <w:t>he full range of reasonable clinician preferences for the point at which an alarm should be triggered to signal that the patient is apneic. We tested thresholds in the range from 0.3 to 0.5 for the aggressive alarm management strategy. In a practical sense</w:t>
      </w:r>
      <w:r>
        <w:t>, this means that we decided that all clinicians who usually use the aggressive alarm strategy would not ever accept a probability for prolonged apnea lower than 0.3 as a useful alarm trigger because there would be little difference between this strategy a</w:t>
      </w:r>
      <w:r>
        <w:t>nd just setting the alarm for all apneas. We also decided that all clinicians would always consider that an alarm is indicated for the aggressive alarm management strategy if the probability of prolonged apnea was higher than 0.5. A range of values was use</w:t>
      </w:r>
      <w:r>
        <w:t>d because these probability thresholds can be interpreted as value preferences that individual clinicians may reasonably choose in the context of clinical practice. For example, a clinician who is more ‘risk-averse’ may elect for a more conservative probab</w:t>
      </w:r>
      <w:r>
        <w:t>ility threshold (closer to 0.3). Individual participant characteristics will also influence clinicians’ decisions about probability thresholds. A clinician may elect to intervene when the probability for prolonged apnea is 0.3 for an elderly patient with m</w:t>
      </w:r>
      <w:r>
        <w:t xml:space="preserve">ultiple comorbidities but not for a </w:t>
      </w:r>
      <w:r>
        <w:lastRenderedPageBreak/>
        <w:t>young patient who may be more likely to be able to tolerate longer periods of apnea. For the conservative alarm management strategy comparison, we chose to plot the range of probability thresholds from 0.7 to 0.8. Higher</w:t>
      </w:r>
      <w:r>
        <w:t xml:space="preserve"> values were chosen because the number of false positives would be an important consideration for clinicians already using a conservative alarm management approach.</w:t>
      </w:r>
    </w:p>
    <w:p w14:paraId="2F96E2EC" w14:textId="77777777" w:rsidR="00131286" w:rsidRDefault="00D80299">
      <w:pPr>
        <w:pStyle w:val="Heading2"/>
      </w:pPr>
      <w:bookmarkStart w:id="16" w:name="results-1"/>
      <w:bookmarkEnd w:id="7"/>
      <w:bookmarkEnd w:id="13"/>
      <w:bookmarkEnd w:id="15"/>
      <w:r>
        <w:t>Results</w:t>
      </w:r>
    </w:p>
    <w:p w14:paraId="4A8C52FF" w14:textId="77777777" w:rsidR="00131286" w:rsidRDefault="00D80299">
      <w:pPr>
        <w:pStyle w:val="FirstParagraph"/>
      </w:pPr>
      <w:r>
        <w:t>A total of 384 apneic events of at least 15 seconds duration from 61 of the 102 pat</w:t>
      </w:r>
      <w:r>
        <w:t xml:space="preserve">ients who participated in this observational study were included in the present analysis. A summary of participant characteristics is presented in Table </w:t>
      </w:r>
      <w:hyperlink w:anchor="tab1">
        <w:r>
          <w:fldChar w:fldCharType="begin"/>
        </w:r>
        <w:r>
          <w:instrText xml:space="preserve"> REF tab1 \h</w:instrText>
        </w:r>
        <w:r w:rsidR="00D7452F">
          <w:fldChar w:fldCharType="separate"/>
        </w:r>
        <w:r w:rsidR="00D7452F">
          <w:rPr>
            <w:noProof/>
          </w:rPr>
          <w:t>1</w:t>
        </w:r>
        <w:r>
          <w:fldChar w:fldCharType="end"/>
        </w:r>
      </w:hyperlink>
      <w:r>
        <w:t>. Nearl</w:t>
      </w:r>
      <w:r>
        <w:t>y half of the (n=180) apneic events were prolonged (i.e. &gt;30 seconds), indicating a balanced dataset for the prediction problem at hand.</w:t>
      </w:r>
    </w:p>
    <w:p w14:paraId="0458E39F" w14:textId="77777777" w:rsidR="00131286" w:rsidRDefault="00D80299">
      <w:pPr>
        <w:pStyle w:val="Heading3"/>
      </w:pPr>
      <w:bookmarkStart w:id="17" w:name="discrimination"/>
      <w:r>
        <w:t>Discrimination</w:t>
      </w:r>
    </w:p>
    <w:p w14:paraId="6120FC36" w14:textId="77777777" w:rsidR="00131286" w:rsidRDefault="00D80299">
      <w:pPr>
        <w:pStyle w:val="FirstParagraph"/>
      </w:pPr>
      <w:r>
        <w:t xml:space="preserve">A plot of the area under the receiver operating characteristics curves for the models using predictions </w:t>
      </w:r>
      <w:r>
        <w:t xml:space="preserve">from 10-fold cross-validation is presented in Figure </w:t>
      </w:r>
      <w:hyperlink w:anchor="roc">
        <w:r>
          <w:fldChar w:fldCharType="begin"/>
        </w:r>
        <w:r>
          <w:instrText xml:space="preserve"> REF roc \h</w:instrText>
        </w:r>
        <w:r w:rsidR="00D7452F">
          <w:fldChar w:fldCharType="separate"/>
        </w:r>
        <w:r w:rsidR="00D7452F">
          <w:rPr>
            <w:noProof/>
          </w:rPr>
          <w:t>1</w:t>
        </w:r>
        <w:r>
          <w:fldChar w:fldCharType="end"/>
        </w:r>
      </w:hyperlink>
      <w:r>
        <w:t>.</w:t>
      </w:r>
    </w:p>
    <w:p w14:paraId="49789F53" w14:textId="77777777" w:rsidR="00131286" w:rsidRDefault="00D80299">
      <w:pPr>
        <w:pStyle w:val="BodyText"/>
      </w:pPr>
      <w:r>
        <w:t>The random forest had the best discriminatory power of the models, with a mean AUROC score of 0.66 (standard error 0.03). A threshold performance plot, which summarises the discriminatory power for the models, including values for sensitivity, specificity,</w:t>
      </w:r>
      <w:r>
        <w:t xml:space="preserve"> positive predictive value, and negative predictive value across all probability thresholds, is presented in Figure </w:t>
      </w:r>
      <w:hyperlink w:anchor="tpp">
        <w:r>
          <w:fldChar w:fldCharType="begin"/>
        </w:r>
        <w:r>
          <w:instrText xml:space="preserve"> REF tpp \h</w:instrText>
        </w:r>
        <w:r w:rsidR="00D7452F">
          <w:fldChar w:fldCharType="separate"/>
        </w:r>
        <w:r w:rsidR="00D7452F">
          <w:rPr>
            <w:noProof/>
          </w:rPr>
          <w:t>2</w:t>
        </w:r>
        <w:r>
          <w:fldChar w:fldCharType="end"/>
        </w:r>
      </w:hyperlink>
      <w:r>
        <w:t>.</w:t>
      </w:r>
    </w:p>
    <w:p w14:paraId="338508B9" w14:textId="77777777" w:rsidR="00131286" w:rsidRDefault="00D80299">
      <w:pPr>
        <w:pStyle w:val="Heading3"/>
      </w:pPr>
      <w:bookmarkStart w:id="18" w:name="calibration"/>
      <w:bookmarkEnd w:id="17"/>
      <w:r>
        <w:lastRenderedPageBreak/>
        <w:t>Calibration</w:t>
      </w:r>
    </w:p>
    <w:p w14:paraId="11AC6552" w14:textId="77777777" w:rsidR="00131286" w:rsidRDefault="00D80299">
      <w:pPr>
        <w:pStyle w:val="FirstParagraph"/>
      </w:pPr>
      <w:r>
        <w:t xml:space="preserve">The random forest model had the </w:t>
      </w:r>
      <w:r>
        <w:t xml:space="preserve">best calibration. It approximated observed risk at moderate (0.5) to high (0.8) thresholds (Figure </w:t>
      </w:r>
      <w:hyperlink w:anchor="cal">
        <w:r>
          <w:fldChar w:fldCharType="begin"/>
        </w:r>
        <w:r>
          <w:instrText xml:space="preserve"> REF cal \h</w:instrText>
        </w:r>
        <w:r w:rsidR="00D7452F">
          <w:fldChar w:fldCharType="separate"/>
        </w:r>
        <w:r w:rsidR="00D7452F">
          <w:rPr>
            <w:noProof/>
          </w:rPr>
          <w:t>3</w:t>
        </w:r>
        <w:r>
          <w:fldChar w:fldCharType="end"/>
        </w:r>
      </w:hyperlink>
      <w:r>
        <w:t>), although the risk was overestimated at very low thresholds an</w:t>
      </w:r>
      <w:r>
        <w:t>d slightly underestimated between 0.4 to 0.5. Other models severely overestimated risk at low probability thresholds and underestimated risk at high probability thresholds.</w:t>
      </w:r>
    </w:p>
    <w:p w14:paraId="1DB7B28A" w14:textId="77777777" w:rsidR="00131286" w:rsidRDefault="00D80299">
      <w:pPr>
        <w:pStyle w:val="Heading3"/>
      </w:pPr>
      <w:bookmarkStart w:id="19" w:name="decision-curve-analysis-1"/>
      <w:bookmarkEnd w:id="18"/>
      <w:r>
        <w:t>Decision curve analysis</w:t>
      </w:r>
    </w:p>
    <w:p w14:paraId="2B491101" w14:textId="77777777" w:rsidR="00131286" w:rsidRDefault="00D80299">
      <w:pPr>
        <w:pStyle w:val="FirstParagraph"/>
      </w:pPr>
      <w:r>
        <w:t>As the random forest performed the best in terms of discrim</w:t>
      </w:r>
      <w:r>
        <w:t>ination and calibration, we chose this model to evaluate using decision curve analysis. The net benefit associated with the random forest model exceeded the aggressive alarm management strategy across all probability thresholds from the range of 0.3 to 0.5</w:t>
      </w:r>
      <w:r>
        <w:t xml:space="preserve"> (Figure </w:t>
      </w:r>
      <w:hyperlink w:anchor="dca">
        <w:r>
          <w:fldChar w:fldCharType="begin"/>
        </w:r>
        <w:r>
          <w:instrText xml:space="preserve"> REF dca \h</w:instrText>
        </w:r>
        <w:r w:rsidR="00D7452F">
          <w:fldChar w:fldCharType="separate"/>
        </w:r>
        <w:r w:rsidR="00D7452F">
          <w:rPr>
            <w:noProof/>
          </w:rPr>
          <w:t>4</w:t>
        </w:r>
        <w:r>
          <w:fldChar w:fldCharType="end"/>
        </w:r>
      </w:hyperlink>
      <w:r>
        <w:t>). The interpretation is that the best clinical outcome would be achieved for clinicians who are willing to initiate an intervention to treat apnea at the</w:t>
      </w:r>
      <w:r>
        <w:t xml:space="preserve"> 15-second mark if the probability of it being prolonged was more than 40% by using the random forest model. The net benefit associated with the random forest model was lower than the conservative alarm management strategy across all probability thresholds</w:t>
      </w:r>
      <w:r>
        <w:t xml:space="preserve"> from the range of 0.7 to 0.8 (Figure </w:t>
      </w:r>
      <w:hyperlink w:anchor="dca">
        <w:r>
          <w:fldChar w:fldCharType="begin"/>
        </w:r>
        <w:r>
          <w:instrText xml:space="preserve"> REF dca \h</w:instrText>
        </w:r>
        <w:r w:rsidR="00D7452F">
          <w:fldChar w:fldCharType="separate"/>
        </w:r>
        <w:r w:rsidR="00D7452F">
          <w:rPr>
            <w:noProof/>
          </w:rPr>
          <w:t>4</w:t>
        </w:r>
        <w:r>
          <w:fldChar w:fldCharType="end"/>
        </w:r>
      </w:hyperlink>
      <w:r>
        <w:t>).</w:t>
      </w:r>
    </w:p>
    <w:p w14:paraId="2D1E2809" w14:textId="77777777" w:rsidR="00131286" w:rsidRDefault="00D80299">
      <w:pPr>
        <w:pStyle w:val="Heading2"/>
      </w:pPr>
      <w:bookmarkStart w:id="20" w:name="discussion"/>
      <w:bookmarkEnd w:id="16"/>
      <w:bookmarkEnd w:id="19"/>
      <w:r>
        <w:t>Discussion</w:t>
      </w:r>
    </w:p>
    <w:p w14:paraId="78F29E7C" w14:textId="77777777" w:rsidR="00131286" w:rsidRDefault="00D80299">
      <w:pPr>
        <w:pStyle w:val="FirstParagraph"/>
      </w:pPr>
      <w:r>
        <w:t xml:space="preserve">Results from prior research indicated that using information about the history of previous respiratory states may be a promising solution for predicting durations of apneic periods. It was found in a study of capnography waveform abnormalities during </w:t>
      </w:r>
      <w:r>
        <w:lastRenderedPageBreak/>
        <w:t>nurse</w:t>
      </w:r>
      <w:r>
        <w:t>-administered sedation that the hazard for apnea increased two-fold (hazard ratio 2.14, 95% CI 1.75 - 2.62) when a patient was in a state of hypoventilation (defined as &gt;10% reduction in ETCO</w:t>
      </w:r>
      <w:r>
        <w:rPr>
          <w:vertAlign w:val="subscript"/>
        </w:rPr>
        <w:t>2</w:t>
      </w:r>
      <w:r>
        <w:t xml:space="preserve"> from baseline).[25] The risk of apnea also increased with each </w:t>
      </w:r>
      <w:r>
        <w:t>additional sedation dose (hazard ratio 2.86; 95% CI 2.15 - 3.81).[25] Results from an earlier study in a different population also supported the observations that the onset of apneic periods during sedation are associated with the history of previous respi</w:t>
      </w:r>
      <w:r>
        <w:t>ratory states. Krauss and colleagues[26] used survival analysis to model the time to first apneic events in a sample of 312 patients undergoing procedural sedation with propofol or ketamine in the emergency department. It was identified that having an abno</w:t>
      </w:r>
      <w:r>
        <w:t>rmal ETCO</w:t>
      </w:r>
      <w:r>
        <w:rPr>
          <w:vertAlign w:val="subscript"/>
        </w:rPr>
        <w:t>2</w:t>
      </w:r>
      <w:r>
        <w:t xml:space="preserve"> measurement 30, 60 and 90 seconds prior to an apneic event increased risk for apnea (hazard ratios with 95% CI for the different lag durations of 2.45 (1.63 - 3.69), 1.88 (1.21 - 2.92) and 2.06 (1.36 - 3.11), respectively).</w:t>
      </w:r>
    </w:p>
    <w:p w14:paraId="0EB6E440" w14:textId="77777777" w:rsidR="00131286" w:rsidRDefault="00D80299">
      <w:pPr>
        <w:pStyle w:val="BodyText"/>
      </w:pPr>
      <w:r>
        <w:t>We leveraged these pr</w:t>
      </w:r>
      <w:r>
        <w:t xml:space="preserve">eliminary findings about the associations between apneic events and the history of previous respiratory states in the present study by building a predictive model using a machine learning approach. A random forest model had the best discriminative ability </w:t>
      </w:r>
      <w:r>
        <w:t>and calibration from those that we tested. However, it should be noted that the accuracy of this random forest model was still quite low (AUROC = 0.66). Additional research should be undertaken with larger sample sizes to validate our initially promising f</w:t>
      </w:r>
      <w:r>
        <w:t>indings.</w:t>
      </w:r>
    </w:p>
    <w:p w14:paraId="195F1FA1" w14:textId="77777777" w:rsidR="00131286" w:rsidRDefault="00D80299">
      <w:pPr>
        <w:pStyle w:val="BodyText"/>
      </w:pPr>
      <w:r>
        <w:t>Many prediction modeling studies focused on predicting clinical outcomes have yielded similarly low AUROC scores. For example, a recent study of the predictive ability of vital sign parameters for detection of clinical deterioration in subacute ca</w:t>
      </w:r>
      <w:r>
        <w:t xml:space="preserve">re patients yielded an AUROC score of 0.57.[27] When presented with a model with low AUC scores, </w:t>
      </w:r>
      <w:r>
        <w:lastRenderedPageBreak/>
        <w:t>decision curve analysis can help elicit whether the model is “good enough” to use in practice. Based on our results, nurses currently using the conservative al</w:t>
      </w:r>
      <w:r>
        <w:t>arm management strategy (alarm only at 30 seconds of apnea) who are willing to ‘value’ a false positive about 2-3 times more than a true positive would not derive an overall net benefit from using the random forest model as a trigger for apnea alarms. This</w:t>
      </w:r>
      <w:r>
        <w:t xml:space="preserve"> is because using the random forest model would produce a worse outcome, in terms of the balance between true positives and false positives, for detecting if an apneic event will be prolonged, than a default strategy of waiting to trigger the alarm until t</w:t>
      </w:r>
      <w:r>
        <w:t>he 30-second threshold.</w:t>
      </w:r>
    </w:p>
    <w:p w14:paraId="714D15B0" w14:textId="77777777" w:rsidR="00131286" w:rsidRDefault="00D80299">
      <w:pPr>
        <w:pStyle w:val="BodyText"/>
      </w:pPr>
      <w:r>
        <w:t>Conversely, nurses currently using the aggressive capnography alarm management strategy (alarm triggered at 15 seconds of apnea) who are willing to ‘value’ a false positive about two-thirds the importance of a true positive would de</w:t>
      </w:r>
      <w:r>
        <w:t>rive an overall net benefit from using the random forest model as a trigger for apnea alarms. Using the random forest model as an additional input for an alarm trigger would reduce the total alarm burden and could be considered as an option for implementat</w:t>
      </w:r>
      <w:r>
        <w:t>ion into practice. To operationalize these predictions into capnography monitors, partnerships with industry would be required because monitor functionality would need to be adapted to facilitate input of the data required to calculate the predictions.[28]</w:t>
      </w:r>
      <w:r>
        <w:t xml:space="preserve"> These would include patient characteristics and sedation dosing. Integrating predictive models into alarm management strategies for respiratory monitoring devices is also indicated in other contexts. For example, a recent study found that opioid-induced r</w:t>
      </w:r>
      <w:r>
        <w:t xml:space="preserve">espiratory depression during recovery from anesthesia can be accurately predicted using a machine learning approach.[29] In addition, user-centered design considerations, such as how the </w:t>
      </w:r>
      <w:r>
        <w:lastRenderedPageBreak/>
        <w:t>predictions should be communicated to nurses responsible for decision</w:t>
      </w:r>
      <w:r>
        <w:t>-making, would be important avenues for further research prior to implementation.[30]</w:t>
      </w:r>
    </w:p>
    <w:p w14:paraId="3545F59A" w14:textId="77777777" w:rsidR="00131286" w:rsidRDefault="00D80299">
      <w:pPr>
        <w:pStyle w:val="BodyText"/>
      </w:pPr>
      <w:r>
        <w:t>The finding that the model produced an overall net benefit against the aggressive capnography alarm management strategy but not the conservative approach is noteworthy. F</w:t>
      </w:r>
      <w:r>
        <w:t xml:space="preserve">urther research with larger sample sizes is needed to increase the predictive power of models aimed at predicting the duration of apnea. Such research is warranted because triggering an alarm after 30 seconds of apnea that would have self-resolved without </w:t>
      </w:r>
      <w:r>
        <w:t>clinical intervention only 5 seconds later is just as clinically inconsequential as triggering an alert after 5 seconds of apnea that would similarly have resolved after a short period of time. In both of these circumstances, there would not have been enou</w:t>
      </w:r>
      <w:r>
        <w:t>gh time for the clinician’s intervention to take effect. Yet, presumably in an attempt to reduce alarm burden, many capnography monitoring devices alarm settings default to triggering after apnea has been observed for 30 seconds. An ideal alternative to th</w:t>
      </w:r>
      <w:r>
        <w:t xml:space="preserve">e conservative alarm strategy would be for clinicians to receive capnography monitor alarms as </w:t>
      </w:r>
      <w:r>
        <w:rPr>
          <w:i/>
          <w:iCs/>
        </w:rPr>
        <w:t>early as possible</w:t>
      </w:r>
      <w:r>
        <w:t xml:space="preserve"> in the course of an apneic event, </w:t>
      </w:r>
      <w:r>
        <w:rPr>
          <w:i/>
          <w:iCs/>
        </w:rPr>
        <w:t>but only</w:t>
      </w:r>
      <w:r>
        <w:t xml:space="preserve"> if the event will be prolonged for enough time for a clinical intervention to be implemented and exe</w:t>
      </w:r>
      <w:r>
        <w:t>rt its intended effect. Results from the present study did not achieve this goal. Yet, previous research indicates that finding such a solution may be worthwhile. An analysis of half a million patients found that respiratory compromise in interventional ra</w:t>
      </w:r>
      <w:r>
        <w:t>diology procedures performed with moderate sedation contributed to worse clinical outcomes and higher costs.[31]</w:t>
      </w:r>
    </w:p>
    <w:p w14:paraId="57EBE7BD" w14:textId="77777777" w:rsidR="00131286" w:rsidRDefault="00D80299">
      <w:pPr>
        <w:pStyle w:val="Heading3"/>
      </w:pPr>
      <w:bookmarkStart w:id="21" w:name="limitations"/>
      <w:r>
        <w:lastRenderedPageBreak/>
        <w:t>Limitations</w:t>
      </w:r>
    </w:p>
    <w:p w14:paraId="102632DA" w14:textId="77777777" w:rsidR="00131286" w:rsidRDefault="00D80299">
      <w:pPr>
        <w:pStyle w:val="FirstParagraph"/>
      </w:pPr>
      <w:r>
        <w:t xml:space="preserve">Although the number of apneas included in the models was relatively high, these were contributed by a small number of patients. We </w:t>
      </w:r>
      <w:r>
        <w:t>used cross-validation to minimize the possibility of overfitting. It should also be noted that the data used in this analysis were produced from an observational study conducted at two hospitals that used a convenience sampling approach. Therefore the poss</w:t>
      </w:r>
      <w:r>
        <w:t>ibility of selection bias should be considered. The context in which the study was conducted should also be considered in regard to external validity. Participants in the study were patients undergoing procedures in a cardiac catheterization laboratory whe</w:t>
      </w:r>
      <w:r>
        <w:t>re small, bolus doses of midazolam and fentanyl were used for sedation. Other procedural sedation contexts may use different doses of sedation and the types of medications. It would not be expected that the results of this study could be generalized to tho</w:t>
      </w:r>
      <w:r>
        <w:t>se other contexts. A further limitation is that, due to the observational nature of the research design, clinicians were not blinded to capnography measurements. It is possible that interventions implemented by clinicians during the 0 to 30-second apneic p</w:t>
      </w:r>
      <w:r>
        <w:t>eriod influenced the duration of apnea. However, this mimics real-world practice, in that interventions may be implemented at a clinicians’ discretion where no alarm conditions have been met. It should also be noted that only 25% of the sample had sleep ap</w:t>
      </w:r>
      <w:r>
        <w:t>nea, which was one of the predictors included in the model. Due to the small sample size, the dataset used to train the model would have contained only a small portion of patients with sleep apnea and therefore it may not be generalizable to this populatio</w:t>
      </w:r>
      <w:r>
        <w:t>n. Further research with larger sample sizes is required for confirmation.</w:t>
      </w:r>
    </w:p>
    <w:p w14:paraId="24798BF8" w14:textId="77777777" w:rsidR="00131286" w:rsidRDefault="00D80299">
      <w:pPr>
        <w:pStyle w:val="Heading3"/>
      </w:pPr>
      <w:bookmarkStart w:id="22" w:name="conclusion-1"/>
      <w:bookmarkEnd w:id="21"/>
      <w:r>
        <w:lastRenderedPageBreak/>
        <w:t>Conclusion</w:t>
      </w:r>
    </w:p>
    <w:p w14:paraId="65FB7A77" w14:textId="77777777" w:rsidR="00131286" w:rsidRDefault="00D80299">
      <w:pPr>
        <w:pStyle w:val="FirstParagraph"/>
      </w:pPr>
      <w:r>
        <w:t>We evaluated several candidate models to determine their accuracy in predicting if an apnea at 15 seconds would be prolonged for more than 30 seconds. The random forest m</w:t>
      </w:r>
      <w:r>
        <w:t xml:space="preserve">odel provided the best discrimination and calibration. Decision curve analysis indicated that using the random forest model would lead to a better outcome for capnography alarm management compared to an aggressive strategy where alarms are triggered after </w:t>
      </w:r>
      <w:r>
        <w:t>15 seconds of apnea. The model would not be superior to the conservative strategy, where alarms are only triggered after 30 seconds.</w:t>
      </w:r>
    </w:p>
    <w:p w14:paraId="7B960B1B" w14:textId="77777777" w:rsidR="00131286" w:rsidRDefault="00D80299">
      <w:r>
        <w:br w:type="page"/>
      </w:r>
    </w:p>
    <w:p w14:paraId="46350FE2" w14:textId="77777777" w:rsidR="00131286" w:rsidRDefault="00D80299">
      <w:pPr>
        <w:pStyle w:val="Heading2"/>
      </w:pPr>
      <w:bookmarkStart w:id="23" w:name="ackowledgements"/>
      <w:bookmarkEnd w:id="20"/>
      <w:bookmarkEnd w:id="22"/>
      <w:r>
        <w:lastRenderedPageBreak/>
        <w:t>Ackowledgements</w:t>
      </w:r>
    </w:p>
    <w:p w14:paraId="7CAF1B5A" w14:textId="77777777" w:rsidR="00131286" w:rsidRDefault="00D80299">
      <w:pPr>
        <w:pStyle w:val="FirstParagraph"/>
      </w:pPr>
      <w:r>
        <w:t>A.C. received support from a National Health and Medical Research Council Early Career Fellowship (APP109</w:t>
      </w:r>
      <w:r>
        <w:t>1657) and the Bertha Rosenstadt Faculty Small Research Grant from the Lawrence S. Bloomberg Faculty of Nursing at the University of Toronto. This study received funding from the Wesley Medical Research (Project number: 2015-31). Role of the funding source:</w:t>
      </w:r>
      <w:r>
        <w:t xml:space="preserve"> The funders had no role in study design; in the collection, analysis and interpretation of data; in the writing of the report; and in the decision to submit the article for publication.</w:t>
      </w:r>
    </w:p>
    <w:p w14:paraId="64B94C1F" w14:textId="77777777" w:rsidR="00131286" w:rsidRDefault="00D80299">
      <w:pPr>
        <w:pStyle w:val="Heading2"/>
      </w:pPr>
      <w:bookmarkStart w:id="24" w:name="conflicts-of-interest"/>
      <w:bookmarkEnd w:id="23"/>
      <w:r>
        <w:t>Conflicts of interest</w:t>
      </w:r>
    </w:p>
    <w:p w14:paraId="33AA27FD" w14:textId="77777777" w:rsidR="00131286" w:rsidRDefault="00D80299">
      <w:pPr>
        <w:pStyle w:val="FirstParagraph"/>
      </w:pPr>
      <w:r>
        <w:t>None</w:t>
      </w:r>
    </w:p>
    <w:p w14:paraId="21CCEFE0" w14:textId="77777777" w:rsidR="00131286" w:rsidRDefault="00D80299">
      <w:pPr>
        <w:pStyle w:val="Heading2"/>
      </w:pPr>
      <w:bookmarkStart w:id="25" w:name="abbreviations"/>
      <w:bookmarkEnd w:id="24"/>
      <w:r>
        <w:t>Abbreviations</w:t>
      </w:r>
    </w:p>
    <w:p w14:paraId="4E1B2B7B" w14:textId="77777777" w:rsidR="00131286" w:rsidRDefault="00D80299">
      <w:pPr>
        <w:pStyle w:val="FirstParagraph"/>
      </w:pPr>
      <w:r>
        <w:t>AUROC: Area under the receiver operating characteristics curve ETCO</w:t>
      </w:r>
      <w:r>
        <w:rPr>
          <w:vertAlign w:val="subscript"/>
        </w:rPr>
        <w:t>2</w:t>
      </w:r>
      <w:r>
        <w:t>: End-tidal carbon dioxide CO</w:t>
      </w:r>
      <w:r>
        <w:rPr>
          <w:vertAlign w:val="subscript"/>
        </w:rPr>
        <w:t>2</w:t>
      </w:r>
      <w:r>
        <w:t>: Carbon dioxide</w:t>
      </w:r>
    </w:p>
    <w:p w14:paraId="5325F478" w14:textId="77777777" w:rsidR="00461185" w:rsidRDefault="00461185">
      <w:pPr>
        <w:spacing w:line="240" w:lineRule="auto"/>
        <w:rPr>
          <w:rFonts w:ascii="Arial" w:eastAsiaTheme="majorEastAsia" w:hAnsi="Arial" w:cstheme="majorBidi"/>
          <w:b/>
          <w:bCs/>
          <w:sz w:val="32"/>
          <w:szCs w:val="32"/>
        </w:rPr>
      </w:pPr>
      <w:bookmarkStart w:id="26" w:name="references"/>
      <w:bookmarkEnd w:id="25"/>
      <w:r>
        <w:br w:type="page"/>
      </w:r>
    </w:p>
    <w:p w14:paraId="035FF5FD" w14:textId="32A08548" w:rsidR="00131286" w:rsidRDefault="00D80299">
      <w:pPr>
        <w:pStyle w:val="Heading2"/>
      </w:pPr>
      <w:r>
        <w:lastRenderedPageBreak/>
        <w:t>References</w:t>
      </w:r>
    </w:p>
    <w:p w14:paraId="136C9865" w14:textId="77777777" w:rsidR="00131286" w:rsidRDefault="00D80299">
      <w:pPr>
        <w:pStyle w:val="Bibliography"/>
      </w:pPr>
      <w:bookmarkStart w:id="27" w:name="ref-lewandowska2020impact"/>
      <w:bookmarkStart w:id="28" w:name="refs"/>
      <w:r>
        <w:t xml:space="preserve">1. </w:t>
      </w:r>
      <w:r>
        <w:tab/>
        <w:t xml:space="preserve">Lewandowska K, Weisbrot M, Cieloszyk A, Mędrzycka-Dąbrowska W, Krupa S, Ozga D. Impact of alarm fatigue on the work of nurses </w:t>
      </w:r>
      <w:r>
        <w:t xml:space="preserve">in an intensive care environment—a systematic review. International Journal of Environmental Research and Public Health Multidisciplinary Digital Publishing Institute; 2020;17(22):8409. </w:t>
      </w:r>
    </w:p>
    <w:p w14:paraId="481F17FC" w14:textId="77777777" w:rsidR="00131286" w:rsidRDefault="00D80299">
      <w:pPr>
        <w:pStyle w:val="Bibliography"/>
      </w:pPr>
      <w:bookmarkStart w:id="29" w:name="ref-chopra2014redesigning"/>
      <w:bookmarkEnd w:id="27"/>
      <w:r>
        <w:t xml:space="preserve">2. </w:t>
      </w:r>
      <w:r>
        <w:tab/>
        <w:t>Chopra V, McMahon LF. Redesigning hospital alarms for patient saf</w:t>
      </w:r>
      <w:r>
        <w:t xml:space="preserve">ety: Alarmed and potentially dangerous. Jama American Medical Association; 2014;311(12):1199–1200. </w:t>
      </w:r>
    </w:p>
    <w:p w14:paraId="6BE7E859" w14:textId="77777777" w:rsidR="00131286" w:rsidRDefault="00D80299">
      <w:pPr>
        <w:pStyle w:val="Bibliography"/>
      </w:pPr>
      <w:bookmarkStart w:id="30" w:name="ref-apfelbaum2018"/>
      <w:bookmarkEnd w:id="29"/>
      <w:r>
        <w:t xml:space="preserve">3. </w:t>
      </w:r>
      <w:r>
        <w:tab/>
        <w:t>Apfelbaum J, Gross J, Connis R, Arnold D, Cot’e C, Dutton R, Tung A. Practice guidelines for moderate procedural sedation and analgesia 2018: A report b</w:t>
      </w:r>
      <w:r>
        <w:t>y the American Society of Anesthesiologists Task Force on Moderate Procedural Sedation and Analgesia, the American Association of Oral and Maxillofacial Surgeons, American College of Radiology, American Dental Association, American Society of Dentist Anest</w:t>
      </w:r>
      <w:r>
        <w:t xml:space="preserve">hesiologists, and Society of Interventional Radiology. Anesthesiology 2018;128(3):437–79. </w:t>
      </w:r>
    </w:p>
    <w:p w14:paraId="3AC99B50" w14:textId="77777777" w:rsidR="00131286" w:rsidRDefault="00D80299">
      <w:pPr>
        <w:pStyle w:val="Bibliography"/>
      </w:pPr>
      <w:bookmarkStart w:id="31" w:name="Xfcf91b2b73b6f4ea49b78fed965766de1a48fcb"/>
      <w:bookmarkEnd w:id="30"/>
      <w:r>
        <w:t xml:space="preserve">4. </w:t>
      </w:r>
      <w:r>
        <w:tab/>
        <w:t>Hinkelbein J, Lamperti M, Akeson J, Santos J, Costa J, De Robertis E, Longrois D, Novak-Jankovic V, Petrini F, Struys MMRF. European Society of Anaesthesiology a</w:t>
      </w:r>
      <w:r>
        <w:t xml:space="preserve">nd European Board of Anaesthesiology guidelines for procedural sedation and analgesia in adults. European Journal of Anaesthesiology 2018;35(1):6–24. </w:t>
      </w:r>
    </w:p>
    <w:p w14:paraId="63582500" w14:textId="77777777" w:rsidR="00131286" w:rsidRDefault="00D80299">
      <w:pPr>
        <w:pStyle w:val="Bibliography"/>
      </w:pPr>
      <w:bookmarkStart w:id="32" w:name="ref-Dobson2018"/>
      <w:bookmarkEnd w:id="31"/>
      <w:r>
        <w:t xml:space="preserve">5. </w:t>
      </w:r>
      <w:r>
        <w:tab/>
        <w:t>Dobson G, Chong MA, Chow L, Flexman A, Hurdle H, Kurrek M, Laflamme C, Perrault M-A, Sparrow K, Stace</w:t>
      </w:r>
      <w:r>
        <w:t>y S, Swart PA, Wong M. Procedural sedation: A position paper of the Canadian Anesthesiologists’ Society. Canadian Journal of Anesthesia 2018 Dec 1;65(12):1372–1384. [</w:t>
      </w:r>
      <w:proofErr w:type="spellStart"/>
      <w:r>
        <w:t>doi</w:t>
      </w:r>
      <w:proofErr w:type="spellEnd"/>
      <w:r>
        <w:t xml:space="preserve">: </w:t>
      </w:r>
      <w:hyperlink r:id="rId9">
        <w:r>
          <w:rPr>
            <w:rStyle w:val="Hyperlink"/>
          </w:rPr>
          <w:t>10.1007/s12630-018-1230-</w:t>
        </w:r>
        <w:r>
          <w:rPr>
            <w:rStyle w:val="Hyperlink"/>
          </w:rPr>
          <w:t>z</w:t>
        </w:r>
      </w:hyperlink>
      <w:r>
        <w:t>]</w:t>
      </w:r>
    </w:p>
    <w:p w14:paraId="47906224" w14:textId="77777777" w:rsidR="00131286" w:rsidRDefault="00D80299">
      <w:pPr>
        <w:pStyle w:val="Bibliography"/>
      </w:pPr>
      <w:bookmarkStart w:id="33" w:name="ref-Conway_2014"/>
      <w:bookmarkEnd w:id="32"/>
      <w:r>
        <w:t xml:space="preserve">6. </w:t>
      </w:r>
      <w:r>
        <w:tab/>
        <w:t>Conway A, Rolley J, Page K, Fulbrook P. Trends in nurse-administered procedural sedation and analgesia across cardiac catheterisation laboratories in australia and new zealand: Results of an electronic survey. Australian Critical Care [Internet] Els</w:t>
      </w:r>
      <w:r>
        <w:t>evier BV; 2014 Feb;27(1):4–10. [</w:t>
      </w:r>
      <w:proofErr w:type="spellStart"/>
      <w:r>
        <w:t>doi</w:t>
      </w:r>
      <w:proofErr w:type="spellEnd"/>
      <w:r>
        <w:t xml:space="preserve">: </w:t>
      </w:r>
      <w:hyperlink r:id="rId10">
        <w:r>
          <w:rPr>
            <w:rStyle w:val="Hyperlink"/>
          </w:rPr>
          <w:t>10.1016/j.aucc.2013.05.003</w:t>
        </w:r>
      </w:hyperlink>
      <w:r>
        <w:t>]</w:t>
      </w:r>
    </w:p>
    <w:p w14:paraId="0911E390" w14:textId="77777777" w:rsidR="00131286" w:rsidRDefault="00D80299">
      <w:pPr>
        <w:pStyle w:val="Bibliography"/>
      </w:pPr>
      <w:bookmarkStart w:id="34" w:name="ref-conway2013"/>
      <w:bookmarkEnd w:id="33"/>
      <w:r>
        <w:lastRenderedPageBreak/>
        <w:t xml:space="preserve">7. </w:t>
      </w:r>
      <w:r>
        <w:tab/>
        <w:t>Conway A, Rolley J, Page K, Fulbrook P. Clinical practice guidelines for nurse-administered procedural sedation and analgesia</w:t>
      </w:r>
      <w:r>
        <w:t xml:space="preserve"> in the cardiac catheterization laboratory: A modified delphi study. Journal of Advanced Nursing [Internet] Wiley; 2013 Dec;70(5):1040–1053. [</w:t>
      </w:r>
      <w:proofErr w:type="spellStart"/>
      <w:r>
        <w:t>doi</w:t>
      </w:r>
      <w:proofErr w:type="spellEnd"/>
      <w:r>
        <w:t xml:space="preserve">: </w:t>
      </w:r>
      <w:hyperlink r:id="rId11">
        <w:r>
          <w:rPr>
            <w:rStyle w:val="Hyperlink"/>
          </w:rPr>
          <w:t>10.1111/jan.12337</w:t>
        </w:r>
      </w:hyperlink>
      <w:r>
        <w:t>]</w:t>
      </w:r>
    </w:p>
    <w:p w14:paraId="0E53AEAF" w14:textId="77777777" w:rsidR="00131286" w:rsidRDefault="00D80299">
      <w:pPr>
        <w:pStyle w:val="Bibliography"/>
      </w:pPr>
      <w:bookmarkStart w:id="35" w:name="ref-conway2013a"/>
      <w:bookmarkEnd w:id="34"/>
      <w:r>
        <w:t xml:space="preserve">8. </w:t>
      </w:r>
      <w:r>
        <w:tab/>
        <w:t>Conway A, Rolley J, Page K, Fulbr</w:t>
      </w:r>
      <w:r>
        <w:t>ook P. Issues and challenges associated with nurse-administered procedural sedation and analgesia in the cardiac catheterisation laboratory: A qualitative study. Journal of Clinical Nursing [Internet] Wiley; 2013 Mar;23(3-4):374–384. [</w:t>
      </w:r>
      <w:proofErr w:type="spellStart"/>
      <w:r>
        <w:t>doi</w:t>
      </w:r>
      <w:proofErr w:type="spellEnd"/>
      <w:r>
        <w:t xml:space="preserve">: </w:t>
      </w:r>
      <w:hyperlink r:id="rId12">
        <w:r>
          <w:rPr>
            <w:rStyle w:val="Hyperlink"/>
          </w:rPr>
          <w:t>10.1111/jocn.12147</w:t>
        </w:r>
      </w:hyperlink>
      <w:r>
        <w:t>]</w:t>
      </w:r>
    </w:p>
    <w:p w14:paraId="3B6118DC" w14:textId="77777777" w:rsidR="00131286" w:rsidRDefault="00D80299">
      <w:pPr>
        <w:pStyle w:val="Bibliography"/>
      </w:pPr>
      <w:bookmarkStart w:id="36" w:name="ref-pella2018systematic"/>
      <w:bookmarkEnd w:id="35"/>
      <w:r>
        <w:t xml:space="preserve">9. </w:t>
      </w:r>
      <w:r>
        <w:tab/>
        <w:t xml:space="preserve">Pella L, Lambert C, McArthur B, West C, Hernandez M, Green K, Sousa M, Brast S, Long M. Systematic review to develop the clinical practice guideline for the use of capnography during procedural </w:t>
      </w:r>
      <w:r>
        <w:t xml:space="preserve">sedation in radiology and imaging settings: A report of the association for radiologic &amp; imaging nursing capnography task force. Journal of Radiology Nursing Elsevier; 2018;37(3):163–172. </w:t>
      </w:r>
    </w:p>
    <w:p w14:paraId="17038CFC" w14:textId="77777777" w:rsidR="00131286" w:rsidRDefault="00D80299">
      <w:pPr>
        <w:pStyle w:val="Bibliography"/>
      </w:pPr>
      <w:bookmarkStart w:id="37" w:name="ref-brast2016capnography"/>
      <w:bookmarkEnd w:id="36"/>
      <w:r>
        <w:t xml:space="preserve">10. </w:t>
      </w:r>
      <w:r>
        <w:tab/>
        <w:t>Brast S, Bland E, Jones-Hooker C, Long M, Green K. Capnography</w:t>
      </w:r>
      <w:r>
        <w:t xml:space="preserve"> for the radiology and imaging nurse: A primer. Journal of Radiology Nursing Elsevier; 2016;35(3):173–190. </w:t>
      </w:r>
    </w:p>
    <w:p w14:paraId="7E4469F2" w14:textId="77777777" w:rsidR="00131286" w:rsidRDefault="00D80299">
      <w:pPr>
        <w:pStyle w:val="Bibliography"/>
      </w:pPr>
      <w:bookmarkStart w:id="38" w:name="ref-long2016capnography"/>
      <w:bookmarkEnd w:id="37"/>
      <w:r>
        <w:t xml:space="preserve">11. </w:t>
      </w:r>
      <w:r>
        <w:tab/>
        <w:t>Long M, Green K, Bland E, Jones-Hooker C, Brast S, Duncan K, Wempe E. Capnography monitoring during procedural sedation in radiology and imagin</w:t>
      </w:r>
      <w:r>
        <w:t xml:space="preserve">g settings: An integrative review. Journal of Radiology Nursing Elsevier; 2016;35(3):191–197. </w:t>
      </w:r>
    </w:p>
    <w:p w14:paraId="21A17748" w14:textId="77777777" w:rsidR="00131286" w:rsidRDefault="00D80299">
      <w:pPr>
        <w:pStyle w:val="Bibliography"/>
      </w:pPr>
      <w:bookmarkStart w:id="39" w:name="ref-mafeld2020avoiding"/>
      <w:bookmarkEnd w:id="38"/>
      <w:r>
        <w:t xml:space="preserve">12. </w:t>
      </w:r>
      <w:r>
        <w:tab/>
      </w:r>
      <w:r>
        <w:t xml:space="preserve">Mafeld S, Musing E, Conway A, Kennedy S, Oreopoulos G, Rajan D. Avoiding and managing error in interventional radiology practice: Tips and tools. Canadian Association of Radiologists Journal SAGE Publications Sage CA: Los Angeles, CA; 2020;71(4):528–535. </w:t>
      </w:r>
    </w:p>
    <w:p w14:paraId="4A69BD21" w14:textId="77777777" w:rsidR="00131286" w:rsidRDefault="00D80299">
      <w:pPr>
        <w:pStyle w:val="Bibliography"/>
      </w:pPr>
      <w:bookmarkStart w:id="40" w:name="ref-werthman2020administration"/>
      <w:bookmarkEnd w:id="39"/>
      <w:r>
        <w:t xml:space="preserve">13. </w:t>
      </w:r>
      <w:r>
        <w:tab/>
        <w:t xml:space="preserve">Werthman JA, Dietrich MS, Maxwell CA, Jordan LM, Minnick AF. The administration of moderate sedation and the role of the radiology nurse. Journal of Radiology Nursing Elsevier; 2020;39(2):92–98. </w:t>
      </w:r>
    </w:p>
    <w:p w14:paraId="558968C3" w14:textId="77777777" w:rsidR="00131286" w:rsidRDefault="00D80299">
      <w:pPr>
        <w:pStyle w:val="Bibliography"/>
      </w:pPr>
      <w:bookmarkStart w:id="41" w:name="ref-wong2019high"/>
      <w:bookmarkEnd w:id="40"/>
      <w:r>
        <w:lastRenderedPageBreak/>
        <w:t xml:space="preserve">14. </w:t>
      </w:r>
      <w:r>
        <w:tab/>
        <w:t>Wong DT, Dallaire A, Singh KP, Madhusudan P, Jacks</w:t>
      </w:r>
      <w:r>
        <w:t xml:space="preserve">on T, Singh M, Wong J, Chung F. High-flow nasal oxygen improves safe apnea time in morbidly obese patients undergoing general anesthesia: A randomized controlled trial. Anesthesia &amp; Analgesia LWW; 2019;129(4):1130–1136. </w:t>
      </w:r>
    </w:p>
    <w:p w14:paraId="1384EF83" w14:textId="77777777" w:rsidR="00131286" w:rsidRDefault="00D80299">
      <w:pPr>
        <w:pStyle w:val="Bibliography"/>
      </w:pPr>
      <w:bookmarkStart w:id="42" w:name="ref-winters2018society"/>
      <w:bookmarkEnd w:id="41"/>
      <w:r>
        <w:t xml:space="preserve">15. </w:t>
      </w:r>
      <w:r>
        <w:tab/>
        <w:t>Winters BD, Cvach MM, Bonafide</w:t>
      </w:r>
      <w:r>
        <w:t xml:space="preserve"> CP, Hu X, Konkani A, O’Connor MF, Rothschild JM, Selby NM, Pelter MM, McLean B, others. Society for critical care medicine alarm and alert fatigue task force. Technological distractions (part 2): A summary of approaches to manage clinical alarms with inte</w:t>
      </w:r>
      <w:r>
        <w:t xml:space="preserve">nt to reduce alarm fatigue. Crit Care Med 2018;46(1):130–137. </w:t>
      </w:r>
    </w:p>
    <w:p w14:paraId="6DE532ED" w14:textId="77777777" w:rsidR="00131286" w:rsidRDefault="00D80299">
      <w:pPr>
        <w:pStyle w:val="Bibliography"/>
      </w:pPr>
      <w:bookmarkStart w:id="43" w:name="ref-conway2019sequence"/>
      <w:bookmarkEnd w:id="42"/>
      <w:r>
        <w:t xml:space="preserve">16. </w:t>
      </w:r>
      <w:r>
        <w:tab/>
        <w:t>Conway A, Collins P, Chang K, Mafeld S, Sutherland J, Fingleton J. Sequence analysis of capnography waveform abnormalities during nurse-administered procedural sedation and analgesia in th</w:t>
      </w:r>
      <w:r>
        <w:t xml:space="preserve">e cardiac catheterization laboratory. Scientific Reports Nature Publishing Group; 2019;9(1):1–9. </w:t>
      </w:r>
    </w:p>
    <w:p w14:paraId="0CDFB319" w14:textId="77777777" w:rsidR="00131286" w:rsidRDefault="00D80299">
      <w:pPr>
        <w:pStyle w:val="Bibliography"/>
      </w:pPr>
      <w:bookmarkStart w:id="44" w:name="ref-national2007"/>
      <w:bookmarkEnd w:id="43"/>
      <w:r>
        <w:t xml:space="preserve">17. </w:t>
      </w:r>
      <w:r>
        <w:tab/>
        <w:t>Health N, (Australia) MRC. Australian Code for the Responsible Conduct of Research: Revision of the Joint NHMRC/AVCC Statement and Guidelines on Research</w:t>
      </w:r>
      <w:r>
        <w:t xml:space="preserve"> Practice. National Health and Medical Research Council; 2007. </w:t>
      </w:r>
    </w:p>
    <w:p w14:paraId="7CE68970" w14:textId="77777777" w:rsidR="00131286" w:rsidRDefault="00D80299">
      <w:pPr>
        <w:pStyle w:val="Bibliography"/>
      </w:pPr>
      <w:bookmarkStart w:id="45" w:name="ref-rcore2021"/>
      <w:bookmarkEnd w:id="44"/>
      <w:r>
        <w:t xml:space="preserve">18. </w:t>
      </w:r>
      <w:r>
        <w:tab/>
        <w:t xml:space="preserve">R Core Team. R: A language and environment for statistical computing [Internet]. Vienna, Austria: R Foundation for Statistical Computing; 2021. Available from: </w:t>
      </w:r>
      <w:hyperlink r:id="rId13">
        <w:r>
          <w:rPr>
            <w:rStyle w:val="Hyperlink"/>
          </w:rPr>
          <w:t>https://www.R-project.org/</w:t>
        </w:r>
      </w:hyperlink>
    </w:p>
    <w:p w14:paraId="33339935" w14:textId="77777777" w:rsidR="00131286" w:rsidRDefault="00D80299">
      <w:pPr>
        <w:pStyle w:val="Bibliography"/>
      </w:pPr>
      <w:bookmarkStart w:id="46" w:name="ref-conway2021code"/>
      <w:bookmarkEnd w:id="45"/>
      <w:r>
        <w:t xml:space="preserve">19. </w:t>
      </w:r>
      <w:r>
        <w:tab/>
        <w:t>Conway A. Code repository. Zenodo 2021. [</w:t>
      </w:r>
      <w:proofErr w:type="spellStart"/>
      <w:r>
        <w:t>doi</w:t>
      </w:r>
      <w:proofErr w:type="spellEnd"/>
      <w:r>
        <w:t xml:space="preserve">: </w:t>
      </w:r>
      <w:hyperlink r:id="rId14">
        <w:r>
          <w:rPr>
            <w:rStyle w:val="Hyperlink"/>
          </w:rPr>
          <w:t>10.5281/zenodo.4646147</w:t>
        </w:r>
      </w:hyperlink>
      <w:r>
        <w:t>]</w:t>
      </w:r>
    </w:p>
    <w:p w14:paraId="5D89421F" w14:textId="77777777" w:rsidR="00131286" w:rsidRDefault="00D80299">
      <w:pPr>
        <w:pStyle w:val="Bibliography"/>
      </w:pPr>
      <w:bookmarkStart w:id="47" w:name="ref-conway2021data"/>
      <w:bookmarkEnd w:id="46"/>
      <w:r>
        <w:t xml:space="preserve">20. </w:t>
      </w:r>
      <w:r>
        <w:tab/>
        <w:t>Conway A. Predicting prolonged apnea during nurse-administered procedura</w:t>
      </w:r>
      <w:r>
        <w:t>l sedation using machine learning [Internet]. figshare; 2021. [</w:t>
      </w:r>
      <w:proofErr w:type="spellStart"/>
      <w:r>
        <w:t>doi</w:t>
      </w:r>
      <w:proofErr w:type="spellEnd"/>
      <w:r>
        <w:t xml:space="preserve">: </w:t>
      </w:r>
      <w:hyperlink r:id="rId15">
        <w:proofErr w:type="gramStart"/>
        <w:r>
          <w:rPr>
            <w:rStyle w:val="Hyperlink"/>
          </w:rPr>
          <w:t>10.6084/m9.figshare.14320874.v</w:t>
        </w:r>
        <w:proofErr w:type="gramEnd"/>
        <w:r>
          <w:rPr>
            <w:rStyle w:val="Hyperlink"/>
          </w:rPr>
          <w:t>3</w:t>
        </w:r>
      </w:hyperlink>
      <w:r>
        <w:t>]</w:t>
      </w:r>
    </w:p>
    <w:p w14:paraId="75BA7E1E" w14:textId="77777777" w:rsidR="00131286" w:rsidRDefault="00D80299">
      <w:pPr>
        <w:pStyle w:val="Bibliography"/>
      </w:pPr>
      <w:bookmarkStart w:id="48" w:name="ref-van2016calibration"/>
      <w:bookmarkEnd w:id="47"/>
      <w:r>
        <w:t xml:space="preserve">21. </w:t>
      </w:r>
      <w:r>
        <w:tab/>
        <w:t>Van Calster B, Nieboer D, Vergouwe Y, De Cock B, Pencina MJ, Steyerberg EW. A calib</w:t>
      </w:r>
      <w:r>
        <w:t xml:space="preserve">ration hierarchy for risk models was defined: From utopia to empirical data. Journal of clinical epidemiology Elsevier; 2016;74:167–176. </w:t>
      </w:r>
    </w:p>
    <w:p w14:paraId="0E854375" w14:textId="77777777" w:rsidR="00131286" w:rsidRDefault="00D80299">
      <w:pPr>
        <w:pStyle w:val="Bibliography"/>
      </w:pPr>
      <w:bookmarkStart w:id="49" w:name="ref-singh2021"/>
      <w:bookmarkEnd w:id="48"/>
      <w:r>
        <w:t xml:space="preserve">22. </w:t>
      </w:r>
      <w:r>
        <w:tab/>
        <w:t xml:space="preserve">Singh K. Runway: Evaluation and comparison of prediction models [Internet]. 2021. Available from: </w:t>
      </w:r>
      <w:hyperlink r:id="rId16">
        <w:r>
          <w:rPr>
            <w:rStyle w:val="Hyperlink"/>
          </w:rPr>
          <w:t>https://github.com/ML4LHS/runway</w:t>
        </w:r>
      </w:hyperlink>
    </w:p>
    <w:p w14:paraId="29798B0A" w14:textId="77777777" w:rsidR="00131286" w:rsidRDefault="00D80299">
      <w:pPr>
        <w:pStyle w:val="Bibliography"/>
      </w:pPr>
      <w:bookmarkStart w:id="50" w:name="ref-vickers2006decision"/>
      <w:bookmarkEnd w:id="49"/>
      <w:r>
        <w:lastRenderedPageBreak/>
        <w:t xml:space="preserve">23. </w:t>
      </w:r>
      <w:r>
        <w:tab/>
        <w:t>Vickers AJ, Elkin EB. Decision curve analysis: A novel method for evaluating prediction models. Medical Decision Making Sage Publications Sage CA: Thousand Oaks, CA; 2006;26(6):565–</w:t>
      </w:r>
      <w:r>
        <w:t xml:space="preserve">574. </w:t>
      </w:r>
    </w:p>
    <w:p w14:paraId="36D7C691" w14:textId="77777777" w:rsidR="00131286" w:rsidRDefault="00D80299">
      <w:pPr>
        <w:pStyle w:val="Bibliography"/>
      </w:pPr>
      <w:bookmarkStart w:id="51" w:name="ref-vickers2016net"/>
      <w:bookmarkEnd w:id="50"/>
      <w:r>
        <w:t xml:space="preserve">24. </w:t>
      </w:r>
      <w:r>
        <w:tab/>
        <w:t xml:space="preserve">Vickers AJ, Van Calster B, Steyerberg EW. Net benefit approaches to the evaluation of prediction models, molecular markers, and diagnostic tests. BMJ British Medical Journal Publishing Group; 2016;352. </w:t>
      </w:r>
    </w:p>
    <w:p w14:paraId="0EE96A8B" w14:textId="77777777" w:rsidR="00131286" w:rsidRDefault="00D80299">
      <w:pPr>
        <w:pStyle w:val="Bibliography"/>
      </w:pPr>
      <w:bookmarkStart w:id="52" w:name="ref-conway2019pre"/>
      <w:bookmarkEnd w:id="51"/>
      <w:r>
        <w:t xml:space="preserve">25. </w:t>
      </w:r>
      <w:r>
        <w:tab/>
        <w:t xml:space="preserve">Conway A, Collins P, Chang K, Mafeld </w:t>
      </w:r>
      <w:r>
        <w:t xml:space="preserve">S, Sutherland J, Fingleton J, Parotto M. Pre-apneic capnography waveform abnormalities during procedural sedation and analgesia. Journal of Clinical Monitoring and Computing Springer; 2019;1–8. </w:t>
      </w:r>
    </w:p>
    <w:p w14:paraId="2BA8FD03" w14:textId="77777777" w:rsidR="00131286" w:rsidRDefault="00D80299">
      <w:pPr>
        <w:pStyle w:val="Bibliography"/>
      </w:pPr>
      <w:bookmarkStart w:id="53" w:name="ref-krauss2016"/>
      <w:bookmarkEnd w:id="52"/>
      <w:r>
        <w:t xml:space="preserve">26. </w:t>
      </w:r>
      <w:r>
        <w:tab/>
      </w:r>
      <w:r>
        <w:t xml:space="preserve">Krauss BS, Andolfatto G, Krauss BA, Mieloszyk RJ, Monuteaux MC. Characteristics of and predictors for apnea and clinical interventions during procedural sedation. Annals of Emergency Medicine 2016;68(5):564–573. </w:t>
      </w:r>
    </w:p>
    <w:p w14:paraId="0CFF1D81" w14:textId="77777777" w:rsidR="00131286" w:rsidRDefault="00D80299">
      <w:pPr>
        <w:pStyle w:val="Bibliography"/>
      </w:pPr>
      <w:bookmarkStart w:id="54" w:name="ref-considine2020vital"/>
      <w:bookmarkEnd w:id="53"/>
      <w:r>
        <w:t xml:space="preserve">27. </w:t>
      </w:r>
      <w:r>
        <w:tab/>
        <w:t xml:space="preserve">Considine J, Street M, Hutchinson AM, </w:t>
      </w:r>
      <w:r>
        <w:t>Mohebbi M, Rawson H, Dunning T, Botti M, Duke MM, Hutchison AF, Bucknall T. Vital sign abnormalities as predictors of clinical deterioration in subacute care patients: A prospective case-time-control study. International Journal of Nursing Studies Elsevier</w:t>
      </w:r>
      <w:r>
        <w:t xml:space="preserve">; 2020;108:103612. </w:t>
      </w:r>
    </w:p>
    <w:p w14:paraId="321BA74B" w14:textId="77777777" w:rsidR="00131286" w:rsidRDefault="00D80299">
      <w:pPr>
        <w:pStyle w:val="Bibliography"/>
      </w:pPr>
      <w:bookmarkStart w:id="55" w:name="ref-glasgow2018nurse"/>
      <w:bookmarkEnd w:id="54"/>
      <w:r>
        <w:t xml:space="preserve">28. </w:t>
      </w:r>
      <w:r>
        <w:tab/>
        <w:t xml:space="preserve">Glasgow MES, Colbert A, Viator J, Cavanagh S. The nurse-engineer: A new role to improve nurse technology interface and patient care device innovations. Journal of Nursing Scholarship Wiley Online Library; 2018;50(6):601–611. </w:t>
      </w:r>
    </w:p>
    <w:p w14:paraId="69EDC262" w14:textId="77777777" w:rsidR="00131286" w:rsidRDefault="00D80299">
      <w:pPr>
        <w:pStyle w:val="Bibliography"/>
      </w:pPr>
      <w:bookmarkStart w:id="56" w:name="ref-jungquist2019identifying"/>
      <w:bookmarkEnd w:id="55"/>
      <w:r>
        <w:t xml:space="preserve">29. </w:t>
      </w:r>
      <w:r>
        <w:tab/>
      </w:r>
      <w:r>
        <w:t>Jungquist CR, Chandola V, Spulecki C, Nguyen KV, Crescenzi P, Tekeste D, Sayapaneni PR. Identifying patients experiencing opioid-induced respiratory depression during recovery from anesthesia: The application of electronic monitoring devices. Worldviews on</w:t>
      </w:r>
      <w:r>
        <w:t xml:space="preserve"> Evidence-Based Nursing Wiley Online Library; 2019;16(3):186–194. </w:t>
      </w:r>
    </w:p>
    <w:p w14:paraId="61471725" w14:textId="77777777" w:rsidR="00131286" w:rsidRDefault="00D80299">
      <w:pPr>
        <w:pStyle w:val="Bibliography"/>
      </w:pPr>
      <w:bookmarkStart w:id="57" w:name="ref-risling2020advancing"/>
      <w:bookmarkEnd w:id="56"/>
      <w:r>
        <w:t xml:space="preserve">30. </w:t>
      </w:r>
      <w:r>
        <w:tab/>
        <w:t xml:space="preserve">Risling TL, Risling DE. Advancing nursing participation in user-centred design. Journal of Research in Nursing SAGE Publications Sage UK: London, England; 2020;25(3):226–238. </w:t>
      </w:r>
    </w:p>
    <w:p w14:paraId="7F4FD5B5" w14:textId="77777777" w:rsidR="00131286" w:rsidRDefault="00D80299">
      <w:pPr>
        <w:pStyle w:val="Bibliography"/>
      </w:pPr>
      <w:bookmarkStart w:id="58" w:name="ref-urman2019impact"/>
      <w:bookmarkEnd w:id="57"/>
      <w:r>
        <w:lastRenderedPageBreak/>
        <w:t xml:space="preserve">31. </w:t>
      </w:r>
      <w:r>
        <w:tab/>
        <w:t>Urm</w:t>
      </w:r>
      <w:r>
        <w:t xml:space="preserve">an RD, Moucharite M, Flynn C, Nuryyeva E, Ray Jr CE. Impact of respiratory compromise in inpatient interventional radiology procedures with moderate sedation in the united states. Radiology Radiological Society of North America; 2019;292(3):702–710. </w:t>
      </w:r>
    </w:p>
    <w:bookmarkEnd w:id="28"/>
    <w:bookmarkEnd w:id="58"/>
    <w:p w14:paraId="34C676D8" w14:textId="77777777" w:rsidR="00131286" w:rsidRDefault="00D80299">
      <w:r>
        <w:br w:type="page"/>
      </w:r>
    </w:p>
    <w:p w14:paraId="3CC9FA23" w14:textId="77777777" w:rsidR="00131286" w:rsidRDefault="00D80299">
      <w:pPr>
        <w:pStyle w:val="Heading2"/>
      </w:pPr>
      <w:bookmarkStart w:id="59" w:name="figure-legend"/>
      <w:bookmarkEnd w:id="26"/>
      <w:r>
        <w:lastRenderedPageBreak/>
        <w:t>Fig</w:t>
      </w:r>
      <w:r>
        <w:t>ure legend</w:t>
      </w:r>
    </w:p>
    <w:p w14:paraId="2B8DD700" w14:textId="77777777" w:rsidR="00131286" w:rsidRDefault="00D80299">
      <w:pPr>
        <w:pStyle w:val="FirstParagraph"/>
      </w:pPr>
      <w:r>
        <w:t>Fig. 1 Area under receiver operating characteristics curve</w:t>
      </w:r>
    </w:p>
    <w:p w14:paraId="7B7DDD02" w14:textId="77777777" w:rsidR="00131286" w:rsidRDefault="00D80299">
      <w:pPr>
        <w:pStyle w:val="BodyText"/>
      </w:pPr>
      <w:r>
        <w:t>Fig. 2 Threshold performance plot for all models evaluated</w:t>
      </w:r>
    </w:p>
    <w:p w14:paraId="269496E8" w14:textId="77777777" w:rsidR="00131286" w:rsidRDefault="00D80299">
      <w:pPr>
        <w:pStyle w:val="BodyText"/>
      </w:pPr>
      <w:r>
        <w:t>Fig. 3 Calibration plot for all models evaluated</w:t>
      </w:r>
    </w:p>
    <w:p w14:paraId="2D6DFB74" w14:textId="77777777" w:rsidR="00131286" w:rsidRDefault="00D80299">
      <w:pPr>
        <w:pStyle w:val="BodyText"/>
      </w:pPr>
      <w:r>
        <w:t>Fig. 4 Decision curve analysis plots. Panel A is the comparison for the aggres</w:t>
      </w:r>
      <w:r>
        <w:t>sive alarm management strategy and panel B is the comparison for the conservative alarm management strategy.</w:t>
      </w:r>
    </w:p>
    <w:p w14:paraId="6F545B51" w14:textId="77777777" w:rsidR="00131286" w:rsidRDefault="00D80299">
      <w:r>
        <w:br w:type="page"/>
      </w:r>
    </w:p>
    <w:p w14:paraId="12402BE3" w14:textId="77777777" w:rsidR="00131286" w:rsidRDefault="00D80299">
      <w:pPr>
        <w:pStyle w:val="TableCaption"/>
      </w:pPr>
      <w:r>
        <w:lastRenderedPageBreak/>
        <w:t xml:space="preserve">Table </w:t>
      </w:r>
      <w:bookmarkStart w:id="60" w:name="tab1"/>
      <w:r>
        <w:fldChar w:fldCharType="begin"/>
      </w:r>
      <w:r>
        <w:instrText>SEQ tab \* Arabic</w:instrText>
      </w:r>
      <w:r w:rsidR="00D7452F">
        <w:fldChar w:fldCharType="separate"/>
      </w:r>
      <w:r w:rsidR="00D7452F">
        <w:rPr>
          <w:noProof/>
        </w:rPr>
        <w:t>1</w:t>
      </w:r>
      <w:r>
        <w:fldChar w:fldCharType="end"/>
      </w:r>
      <w:bookmarkEnd w:id="60"/>
      <w:r>
        <w:t>: Participant characteristics</w:t>
      </w:r>
    </w:p>
    <w:tbl>
      <w:tblPr>
        <w:tblW w:w="0" w:type="auto"/>
        <w:jc w:val="center"/>
        <w:tblLayout w:type="fixed"/>
        <w:tblLook w:val="0420" w:firstRow="1" w:lastRow="0" w:firstColumn="0" w:lastColumn="0" w:noHBand="0" w:noVBand="1"/>
      </w:tblPr>
      <w:tblGrid>
        <w:gridCol w:w="6843"/>
        <w:gridCol w:w="2025"/>
      </w:tblGrid>
      <w:tr w:rsidR="00131286" w14:paraId="65213862" w14:textId="77777777">
        <w:trPr>
          <w:cantSplit/>
          <w:tblHeader/>
          <w:jc w:val="center"/>
        </w:trPr>
        <w:tc>
          <w:tcPr>
            <w:tcW w:w="6843"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42E067E0" w14:textId="77777777" w:rsidR="00131286" w:rsidRDefault="00D80299">
            <w:pPr>
              <w:spacing w:before="40" w:after="40" w:line="240" w:lineRule="auto"/>
              <w:ind w:left="100" w:right="100"/>
            </w:pPr>
            <w:r>
              <w:rPr>
                <w:rFonts w:ascii="Helvetica" w:eastAsia="Helvetica" w:hAnsi="Helvetica" w:cs="Helvetica"/>
                <w:color w:val="000000"/>
                <w:sz w:val="22"/>
                <w:szCs w:val="22"/>
              </w:rPr>
              <w:t>Characteristic</w:t>
            </w:r>
          </w:p>
        </w:tc>
        <w:tc>
          <w:tcPr>
            <w:tcW w:w="2025"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35FDCFFF" w14:textId="77777777" w:rsidR="00131286" w:rsidRDefault="00D80299">
            <w:pPr>
              <w:spacing w:before="40" w:after="40" w:line="240" w:lineRule="auto"/>
              <w:ind w:left="100" w:right="100"/>
              <w:jc w:val="center"/>
            </w:pPr>
            <w:r>
              <w:rPr>
                <w:rFonts w:ascii="Helvetica" w:eastAsia="Helvetica" w:hAnsi="Helvetica" w:cs="Helvetica"/>
                <w:color w:val="000000"/>
                <w:sz w:val="22"/>
                <w:szCs w:val="22"/>
              </w:rPr>
              <w:t>N = 61</w:t>
            </w:r>
            <w:r>
              <w:rPr>
                <w:rFonts w:ascii="Helvetica" w:eastAsia="Helvetica" w:hAnsi="Helvetica" w:cs="Helvetica"/>
                <w:color w:val="000000"/>
                <w:sz w:val="22"/>
                <w:szCs w:val="22"/>
                <w:vertAlign w:val="superscript"/>
              </w:rPr>
              <w:t>1</w:t>
            </w:r>
          </w:p>
        </w:tc>
      </w:tr>
      <w:tr w:rsidR="00131286" w14:paraId="39FA7EF9" w14:textId="77777777">
        <w:trPr>
          <w:cantSplit/>
          <w:jc w:val="center"/>
        </w:trPr>
        <w:tc>
          <w:tcPr>
            <w:tcW w:w="6843" w:type="dxa"/>
            <w:shd w:val="clear" w:color="auto" w:fill="FFFFFF"/>
            <w:tcMar>
              <w:top w:w="0" w:type="dxa"/>
              <w:left w:w="0" w:type="dxa"/>
              <w:bottom w:w="0" w:type="dxa"/>
              <w:right w:w="0" w:type="dxa"/>
            </w:tcMar>
          </w:tcPr>
          <w:p w14:paraId="467D0422" w14:textId="77777777" w:rsidR="00131286" w:rsidRDefault="00D80299">
            <w:pPr>
              <w:spacing w:before="100" w:after="100" w:line="240" w:lineRule="auto"/>
              <w:ind w:left="100" w:right="100"/>
            </w:pPr>
            <w:r>
              <w:rPr>
                <w:rFonts w:ascii="Helvetica" w:eastAsia="Helvetica" w:hAnsi="Helvetica" w:cs="Helvetica"/>
                <w:color w:val="000000"/>
                <w:sz w:val="22"/>
                <w:szCs w:val="22"/>
              </w:rPr>
              <w:t>Age</w:t>
            </w:r>
          </w:p>
        </w:tc>
        <w:tc>
          <w:tcPr>
            <w:tcW w:w="2025" w:type="dxa"/>
            <w:shd w:val="clear" w:color="auto" w:fill="FFFFFF"/>
            <w:tcMar>
              <w:top w:w="0" w:type="dxa"/>
              <w:left w:w="0" w:type="dxa"/>
              <w:bottom w:w="0" w:type="dxa"/>
              <w:right w:w="0" w:type="dxa"/>
            </w:tcMar>
            <w:vAlign w:val="center"/>
          </w:tcPr>
          <w:p w14:paraId="451461D8" w14:textId="77777777" w:rsidR="00131286" w:rsidRDefault="00D80299">
            <w:pPr>
              <w:spacing w:before="100" w:after="100" w:line="240" w:lineRule="auto"/>
              <w:ind w:left="100" w:right="100"/>
              <w:jc w:val="center"/>
            </w:pPr>
            <w:r>
              <w:rPr>
                <w:rFonts w:ascii="Helvetica" w:eastAsia="Helvetica" w:hAnsi="Helvetica" w:cs="Helvetica"/>
                <w:color w:val="000000"/>
                <w:sz w:val="22"/>
                <w:szCs w:val="22"/>
              </w:rPr>
              <w:t>76 (68, 80)</w:t>
            </w:r>
          </w:p>
        </w:tc>
      </w:tr>
      <w:tr w:rsidR="00131286" w14:paraId="3148A84D" w14:textId="77777777">
        <w:trPr>
          <w:cantSplit/>
          <w:jc w:val="center"/>
        </w:trPr>
        <w:tc>
          <w:tcPr>
            <w:tcW w:w="6843" w:type="dxa"/>
            <w:shd w:val="clear" w:color="auto" w:fill="FFFFFF"/>
            <w:tcMar>
              <w:top w:w="0" w:type="dxa"/>
              <w:left w:w="0" w:type="dxa"/>
              <w:bottom w:w="0" w:type="dxa"/>
              <w:right w:w="0" w:type="dxa"/>
            </w:tcMar>
          </w:tcPr>
          <w:p w14:paraId="59E5F8B0" w14:textId="77777777" w:rsidR="00131286" w:rsidRDefault="00D80299">
            <w:pPr>
              <w:spacing w:before="100" w:after="100" w:line="240" w:lineRule="auto"/>
              <w:ind w:left="100" w:right="100"/>
            </w:pPr>
            <w:r>
              <w:rPr>
                <w:rFonts w:ascii="Helvetica" w:eastAsia="Helvetica" w:hAnsi="Helvetica" w:cs="Helvetica"/>
                <w:color w:val="000000"/>
                <w:sz w:val="22"/>
                <w:szCs w:val="22"/>
              </w:rPr>
              <w:t>Body mass index</w:t>
            </w:r>
          </w:p>
        </w:tc>
        <w:tc>
          <w:tcPr>
            <w:tcW w:w="2025" w:type="dxa"/>
            <w:shd w:val="clear" w:color="auto" w:fill="FFFFFF"/>
            <w:tcMar>
              <w:top w:w="0" w:type="dxa"/>
              <w:left w:w="0" w:type="dxa"/>
              <w:bottom w:w="0" w:type="dxa"/>
              <w:right w:w="0" w:type="dxa"/>
            </w:tcMar>
            <w:vAlign w:val="center"/>
          </w:tcPr>
          <w:p w14:paraId="668256CB" w14:textId="77777777" w:rsidR="00131286" w:rsidRDefault="00D80299">
            <w:pPr>
              <w:spacing w:before="100" w:after="100" w:line="240" w:lineRule="auto"/>
              <w:ind w:left="100" w:right="100"/>
              <w:jc w:val="center"/>
            </w:pPr>
            <w:r>
              <w:rPr>
                <w:rFonts w:ascii="Helvetica" w:eastAsia="Helvetica" w:hAnsi="Helvetica" w:cs="Helvetica"/>
                <w:color w:val="000000"/>
                <w:sz w:val="22"/>
                <w:szCs w:val="22"/>
              </w:rPr>
              <w:t>26.4 (24.6, 29.8)</w:t>
            </w:r>
          </w:p>
        </w:tc>
      </w:tr>
      <w:tr w:rsidR="00131286" w14:paraId="401880E3" w14:textId="77777777">
        <w:trPr>
          <w:cantSplit/>
          <w:jc w:val="center"/>
        </w:trPr>
        <w:tc>
          <w:tcPr>
            <w:tcW w:w="6843" w:type="dxa"/>
            <w:shd w:val="clear" w:color="auto" w:fill="FFFFFF"/>
            <w:tcMar>
              <w:top w:w="0" w:type="dxa"/>
              <w:left w:w="0" w:type="dxa"/>
              <w:bottom w:w="0" w:type="dxa"/>
              <w:right w:w="0" w:type="dxa"/>
            </w:tcMar>
          </w:tcPr>
          <w:p w14:paraId="4B6D63CB" w14:textId="77777777" w:rsidR="00131286" w:rsidRDefault="00D80299">
            <w:pPr>
              <w:spacing w:before="100" w:after="100" w:line="240" w:lineRule="auto"/>
              <w:ind w:left="100" w:right="100"/>
            </w:pPr>
            <w:r>
              <w:rPr>
                <w:rFonts w:ascii="Helvetica" w:eastAsia="Helvetica" w:hAnsi="Helvetica" w:cs="Helvetica"/>
                <w:color w:val="000000"/>
                <w:sz w:val="22"/>
                <w:szCs w:val="22"/>
              </w:rPr>
              <w:t>Sex</w:t>
            </w:r>
          </w:p>
        </w:tc>
        <w:tc>
          <w:tcPr>
            <w:tcW w:w="2025" w:type="dxa"/>
            <w:shd w:val="clear" w:color="auto" w:fill="FFFFFF"/>
            <w:tcMar>
              <w:top w:w="0" w:type="dxa"/>
              <w:left w:w="0" w:type="dxa"/>
              <w:bottom w:w="0" w:type="dxa"/>
              <w:right w:w="0" w:type="dxa"/>
            </w:tcMar>
            <w:vAlign w:val="center"/>
          </w:tcPr>
          <w:p w14:paraId="3E9A4A13" w14:textId="77777777" w:rsidR="00131286" w:rsidRDefault="00131286">
            <w:pPr>
              <w:spacing w:before="100" w:after="100" w:line="240" w:lineRule="auto"/>
              <w:ind w:left="100" w:right="100"/>
              <w:jc w:val="center"/>
            </w:pPr>
          </w:p>
        </w:tc>
      </w:tr>
      <w:tr w:rsidR="00131286" w14:paraId="61778D94" w14:textId="77777777">
        <w:trPr>
          <w:cantSplit/>
          <w:jc w:val="center"/>
        </w:trPr>
        <w:tc>
          <w:tcPr>
            <w:tcW w:w="6843" w:type="dxa"/>
            <w:shd w:val="clear" w:color="auto" w:fill="FFFFFF"/>
            <w:tcMar>
              <w:top w:w="0" w:type="dxa"/>
              <w:left w:w="0" w:type="dxa"/>
              <w:bottom w:w="0" w:type="dxa"/>
              <w:right w:w="0" w:type="dxa"/>
            </w:tcMar>
          </w:tcPr>
          <w:p w14:paraId="071550F8" w14:textId="77777777" w:rsidR="00131286" w:rsidRDefault="00D80299">
            <w:pPr>
              <w:spacing w:before="100" w:after="100" w:line="240" w:lineRule="auto"/>
              <w:ind w:left="300" w:right="100"/>
            </w:pPr>
            <w:r>
              <w:rPr>
                <w:rFonts w:ascii="Helvetica" w:eastAsia="Helvetica" w:hAnsi="Helvetica" w:cs="Helvetica"/>
                <w:color w:val="000000"/>
                <w:sz w:val="22"/>
                <w:szCs w:val="22"/>
              </w:rPr>
              <w:t>Female</w:t>
            </w:r>
          </w:p>
        </w:tc>
        <w:tc>
          <w:tcPr>
            <w:tcW w:w="2025" w:type="dxa"/>
            <w:shd w:val="clear" w:color="auto" w:fill="FFFFFF"/>
            <w:tcMar>
              <w:top w:w="0" w:type="dxa"/>
              <w:left w:w="0" w:type="dxa"/>
              <w:bottom w:w="0" w:type="dxa"/>
              <w:right w:w="0" w:type="dxa"/>
            </w:tcMar>
            <w:vAlign w:val="center"/>
          </w:tcPr>
          <w:p w14:paraId="57CFFF07" w14:textId="77777777" w:rsidR="00131286" w:rsidRDefault="00D80299">
            <w:pPr>
              <w:spacing w:before="100" w:after="100" w:line="240" w:lineRule="auto"/>
              <w:ind w:left="100" w:right="100"/>
              <w:jc w:val="center"/>
            </w:pPr>
            <w:r>
              <w:rPr>
                <w:rFonts w:ascii="Helvetica" w:eastAsia="Helvetica" w:hAnsi="Helvetica" w:cs="Helvetica"/>
                <w:color w:val="000000"/>
                <w:sz w:val="22"/>
                <w:szCs w:val="22"/>
              </w:rPr>
              <w:t>22 (36%)</w:t>
            </w:r>
          </w:p>
        </w:tc>
      </w:tr>
      <w:tr w:rsidR="00131286" w14:paraId="2D4F05DF" w14:textId="77777777">
        <w:trPr>
          <w:cantSplit/>
          <w:jc w:val="center"/>
        </w:trPr>
        <w:tc>
          <w:tcPr>
            <w:tcW w:w="6843" w:type="dxa"/>
            <w:shd w:val="clear" w:color="auto" w:fill="FFFFFF"/>
            <w:tcMar>
              <w:top w:w="0" w:type="dxa"/>
              <w:left w:w="0" w:type="dxa"/>
              <w:bottom w:w="0" w:type="dxa"/>
              <w:right w:w="0" w:type="dxa"/>
            </w:tcMar>
          </w:tcPr>
          <w:p w14:paraId="427F3F08" w14:textId="77777777" w:rsidR="00131286" w:rsidRDefault="00D80299">
            <w:pPr>
              <w:spacing w:before="100" w:after="100" w:line="240" w:lineRule="auto"/>
              <w:ind w:left="300" w:right="100"/>
            </w:pPr>
            <w:r>
              <w:rPr>
                <w:rFonts w:ascii="Helvetica" w:eastAsia="Helvetica" w:hAnsi="Helvetica" w:cs="Helvetica"/>
                <w:color w:val="000000"/>
                <w:sz w:val="22"/>
                <w:szCs w:val="22"/>
              </w:rPr>
              <w:t>Male</w:t>
            </w:r>
          </w:p>
        </w:tc>
        <w:tc>
          <w:tcPr>
            <w:tcW w:w="2025" w:type="dxa"/>
            <w:shd w:val="clear" w:color="auto" w:fill="FFFFFF"/>
            <w:tcMar>
              <w:top w:w="0" w:type="dxa"/>
              <w:left w:w="0" w:type="dxa"/>
              <w:bottom w:w="0" w:type="dxa"/>
              <w:right w:w="0" w:type="dxa"/>
            </w:tcMar>
            <w:vAlign w:val="center"/>
          </w:tcPr>
          <w:p w14:paraId="26A1EEB3" w14:textId="77777777" w:rsidR="00131286" w:rsidRDefault="00D80299">
            <w:pPr>
              <w:spacing w:before="100" w:after="100" w:line="240" w:lineRule="auto"/>
              <w:ind w:left="100" w:right="100"/>
              <w:jc w:val="center"/>
            </w:pPr>
            <w:r>
              <w:rPr>
                <w:rFonts w:ascii="Helvetica" w:eastAsia="Helvetica" w:hAnsi="Helvetica" w:cs="Helvetica"/>
                <w:color w:val="000000"/>
                <w:sz w:val="22"/>
                <w:szCs w:val="22"/>
              </w:rPr>
              <w:t>39 (64%)</w:t>
            </w:r>
          </w:p>
        </w:tc>
      </w:tr>
      <w:tr w:rsidR="00131286" w14:paraId="34931B77" w14:textId="77777777">
        <w:trPr>
          <w:cantSplit/>
          <w:jc w:val="center"/>
        </w:trPr>
        <w:tc>
          <w:tcPr>
            <w:tcW w:w="6843" w:type="dxa"/>
            <w:shd w:val="clear" w:color="auto" w:fill="FFFFFF"/>
            <w:tcMar>
              <w:top w:w="0" w:type="dxa"/>
              <w:left w:w="0" w:type="dxa"/>
              <w:bottom w:w="0" w:type="dxa"/>
              <w:right w:w="0" w:type="dxa"/>
            </w:tcMar>
          </w:tcPr>
          <w:p w14:paraId="4BA1025E" w14:textId="77777777" w:rsidR="00131286" w:rsidRDefault="00D80299">
            <w:pPr>
              <w:spacing w:before="100" w:after="100" w:line="240" w:lineRule="auto"/>
              <w:ind w:left="100" w:right="100"/>
            </w:pPr>
            <w:r>
              <w:rPr>
                <w:rFonts w:ascii="Helvetica" w:eastAsia="Helvetica" w:hAnsi="Helvetica" w:cs="Helvetica"/>
                <w:color w:val="000000"/>
                <w:sz w:val="22"/>
                <w:szCs w:val="22"/>
              </w:rPr>
              <w:t>Obstructive sleep apnea</w:t>
            </w:r>
          </w:p>
        </w:tc>
        <w:tc>
          <w:tcPr>
            <w:tcW w:w="2025" w:type="dxa"/>
            <w:shd w:val="clear" w:color="auto" w:fill="FFFFFF"/>
            <w:tcMar>
              <w:top w:w="0" w:type="dxa"/>
              <w:left w:w="0" w:type="dxa"/>
              <w:bottom w:w="0" w:type="dxa"/>
              <w:right w:w="0" w:type="dxa"/>
            </w:tcMar>
            <w:vAlign w:val="center"/>
          </w:tcPr>
          <w:p w14:paraId="7AE4BF7D" w14:textId="77777777" w:rsidR="00131286" w:rsidRDefault="00131286">
            <w:pPr>
              <w:spacing w:before="100" w:after="100" w:line="240" w:lineRule="auto"/>
              <w:ind w:left="100" w:right="100"/>
              <w:jc w:val="center"/>
            </w:pPr>
          </w:p>
        </w:tc>
      </w:tr>
      <w:tr w:rsidR="00131286" w14:paraId="481FBE0A" w14:textId="77777777">
        <w:trPr>
          <w:cantSplit/>
          <w:jc w:val="center"/>
        </w:trPr>
        <w:tc>
          <w:tcPr>
            <w:tcW w:w="6843" w:type="dxa"/>
            <w:shd w:val="clear" w:color="auto" w:fill="FFFFFF"/>
            <w:tcMar>
              <w:top w:w="0" w:type="dxa"/>
              <w:left w:w="0" w:type="dxa"/>
              <w:bottom w:w="0" w:type="dxa"/>
              <w:right w:w="0" w:type="dxa"/>
            </w:tcMar>
          </w:tcPr>
          <w:p w14:paraId="0A918438" w14:textId="77777777" w:rsidR="00131286" w:rsidRDefault="00D80299">
            <w:pPr>
              <w:spacing w:before="100" w:after="100" w:line="240" w:lineRule="auto"/>
              <w:ind w:left="300" w:right="100"/>
            </w:pPr>
            <w:r>
              <w:rPr>
                <w:rFonts w:ascii="Helvetica" w:eastAsia="Helvetica" w:hAnsi="Helvetica" w:cs="Helvetica"/>
                <w:color w:val="000000"/>
                <w:sz w:val="22"/>
                <w:szCs w:val="22"/>
              </w:rPr>
              <w:t>No OSA</w:t>
            </w:r>
          </w:p>
        </w:tc>
        <w:tc>
          <w:tcPr>
            <w:tcW w:w="2025" w:type="dxa"/>
            <w:shd w:val="clear" w:color="auto" w:fill="FFFFFF"/>
            <w:tcMar>
              <w:top w:w="0" w:type="dxa"/>
              <w:left w:w="0" w:type="dxa"/>
              <w:bottom w:w="0" w:type="dxa"/>
              <w:right w:w="0" w:type="dxa"/>
            </w:tcMar>
            <w:vAlign w:val="center"/>
          </w:tcPr>
          <w:p w14:paraId="0B89FF9C" w14:textId="77777777" w:rsidR="00131286" w:rsidRDefault="00D80299">
            <w:pPr>
              <w:spacing w:before="100" w:after="100" w:line="240" w:lineRule="auto"/>
              <w:ind w:left="100" w:right="100"/>
              <w:jc w:val="center"/>
            </w:pPr>
            <w:r>
              <w:rPr>
                <w:rFonts w:ascii="Helvetica" w:eastAsia="Helvetica" w:hAnsi="Helvetica" w:cs="Helvetica"/>
                <w:color w:val="000000"/>
                <w:sz w:val="22"/>
                <w:szCs w:val="22"/>
              </w:rPr>
              <w:t>46 (75%)</w:t>
            </w:r>
          </w:p>
        </w:tc>
      </w:tr>
      <w:tr w:rsidR="00131286" w14:paraId="71A051FE" w14:textId="77777777">
        <w:trPr>
          <w:cantSplit/>
          <w:jc w:val="center"/>
        </w:trPr>
        <w:tc>
          <w:tcPr>
            <w:tcW w:w="6843" w:type="dxa"/>
            <w:shd w:val="clear" w:color="auto" w:fill="FFFFFF"/>
            <w:tcMar>
              <w:top w:w="0" w:type="dxa"/>
              <w:left w:w="0" w:type="dxa"/>
              <w:bottom w:w="0" w:type="dxa"/>
              <w:right w:w="0" w:type="dxa"/>
            </w:tcMar>
          </w:tcPr>
          <w:p w14:paraId="04CA7295" w14:textId="77777777" w:rsidR="00131286" w:rsidRDefault="00D80299">
            <w:pPr>
              <w:spacing w:before="100" w:after="100" w:line="240" w:lineRule="auto"/>
              <w:ind w:left="300" w:right="100"/>
            </w:pPr>
            <w:r>
              <w:rPr>
                <w:rFonts w:ascii="Helvetica" w:eastAsia="Helvetica" w:hAnsi="Helvetica" w:cs="Helvetica"/>
                <w:color w:val="000000"/>
                <w:sz w:val="22"/>
                <w:szCs w:val="22"/>
              </w:rPr>
              <w:t>OSA</w:t>
            </w:r>
          </w:p>
        </w:tc>
        <w:tc>
          <w:tcPr>
            <w:tcW w:w="2025" w:type="dxa"/>
            <w:shd w:val="clear" w:color="auto" w:fill="FFFFFF"/>
            <w:tcMar>
              <w:top w:w="0" w:type="dxa"/>
              <w:left w:w="0" w:type="dxa"/>
              <w:bottom w:w="0" w:type="dxa"/>
              <w:right w:w="0" w:type="dxa"/>
            </w:tcMar>
            <w:vAlign w:val="center"/>
          </w:tcPr>
          <w:p w14:paraId="659A75A6" w14:textId="77777777" w:rsidR="00131286" w:rsidRDefault="00D80299">
            <w:pPr>
              <w:spacing w:before="100" w:after="100" w:line="240" w:lineRule="auto"/>
              <w:ind w:left="100" w:right="100"/>
              <w:jc w:val="center"/>
            </w:pPr>
            <w:r>
              <w:rPr>
                <w:rFonts w:ascii="Helvetica" w:eastAsia="Helvetica" w:hAnsi="Helvetica" w:cs="Helvetica"/>
                <w:color w:val="000000"/>
                <w:sz w:val="22"/>
                <w:szCs w:val="22"/>
              </w:rPr>
              <w:t>15 (25%)</w:t>
            </w:r>
          </w:p>
        </w:tc>
      </w:tr>
      <w:tr w:rsidR="00131286" w14:paraId="25F0B90A" w14:textId="77777777">
        <w:trPr>
          <w:cantSplit/>
          <w:jc w:val="center"/>
        </w:trPr>
        <w:tc>
          <w:tcPr>
            <w:tcW w:w="6843" w:type="dxa"/>
            <w:shd w:val="clear" w:color="auto" w:fill="FFFFFF"/>
            <w:tcMar>
              <w:top w:w="0" w:type="dxa"/>
              <w:left w:w="0" w:type="dxa"/>
              <w:bottom w:w="0" w:type="dxa"/>
              <w:right w:w="0" w:type="dxa"/>
            </w:tcMar>
          </w:tcPr>
          <w:p w14:paraId="2E7684AC" w14:textId="77777777" w:rsidR="00131286" w:rsidRDefault="00D80299">
            <w:pPr>
              <w:spacing w:before="100" w:after="100" w:line="240" w:lineRule="auto"/>
              <w:ind w:left="100" w:right="100"/>
            </w:pPr>
            <w:r>
              <w:rPr>
                <w:rFonts w:ascii="Helvetica" w:eastAsia="Helvetica" w:hAnsi="Helvetica" w:cs="Helvetica"/>
                <w:color w:val="000000"/>
                <w:sz w:val="22"/>
                <w:szCs w:val="22"/>
              </w:rPr>
              <w:t>American Society of Anesthesiology Physical Classification Status</w:t>
            </w:r>
          </w:p>
        </w:tc>
        <w:tc>
          <w:tcPr>
            <w:tcW w:w="2025" w:type="dxa"/>
            <w:shd w:val="clear" w:color="auto" w:fill="FFFFFF"/>
            <w:tcMar>
              <w:top w:w="0" w:type="dxa"/>
              <w:left w:w="0" w:type="dxa"/>
              <w:bottom w:w="0" w:type="dxa"/>
              <w:right w:w="0" w:type="dxa"/>
            </w:tcMar>
            <w:vAlign w:val="center"/>
          </w:tcPr>
          <w:p w14:paraId="13CC76A8" w14:textId="77777777" w:rsidR="00131286" w:rsidRDefault="00131286">
            <w:pPr>
              <w:spacing w:before="100" w:after="100" w:line="240" w:lineRule="auto"/>
              <w:ind w:left="100" w:right="100"/>
              <w:jc w:val="center"/>
            </w:pPr>
          </w:p>
        </w:tc>
      </w:tr>
      <w:tr w:rsidR="00131286" w14:paraId="5519A556" w14:textId="77777777">
        <w:trPr>
          <w:cantSplit/>
          <w:jc w:val="center"/>
        </w:trPr>
        <w:tc>
          <w:tcPr>
            <w:tcW w:w="6843" w:type="dxa"/>
            <w:shd w:val="clear" w:color="auto" w:fill="FFFFFF"/>
            <w:tcMar>
              <w:top w:w="0" w:type="dxa"/>
              <w:left w:w="0" w:type="dxa"/>
              <w:bottom w:w="0" w:type="dxa"/>
              <w:right w:w="0" w:type="dxa"/>
            </w:tcMar>
          </w:tcPr>
          <w:p w14:paraId="1EF77C57" w14:textId="77777777" w:rsidR="00131286" w:rsidRDefault="00D80299">
            <w:pPr>
              <w:spacing w:before="100" w:after="100" w:line="240" w:lineRule="auto"/>
              <w:ind w:left="300" w:right="100"/>
            </w:pPr>
            <w:r>
              <w:rPr>
                <w:rFonts w:ascii="Helvetica" w:eastAsia="Helvetica" w:hAnsi="Helvetica" w:cs="Helvetica"/>
                <w:color w:val="000000"/>
                <w:sz w:val="22"/>
                <w:szCs w:val="22"/>
              </w:rPr>
              <w:t>I or II</w:t>
            </w:r>
          </w:p>
        </w:tc>
        <w:tc>
          <w:tcPr>
            <w:tcW w:w="2025" w:type="dxa"/>
            <w:shd w:val="clear" w:color="auto" w:fill="FFFFFF"/>
            <w:tcMar>
              <w:top w:w="0" w:type="dxa"/>
              <w:left w:w="0" w:type="dxa"/>
              <w:bottom w:w="0" w:type="dxa"/>
              <w:right w:w="0" w:type="dxa"/>
            </w:tcMar>
            <w:vAlign w:val="center"/>
          </w:tcPr>
          <w:p w14:paraId="1769E8EE" w14:textId="77777777" w:rsidR="00131286" w:rsidRDefault="00D80299">
            <w:pPr>
              <w:spacing w:before="100" w:after="100" w:line="240" w:lineRule="auto"/>
              <w:ind w:left="100" w:right="100"/>
              <w:jc w:val="center"/>
            </w:pPr>
            <w:r>
              <w:rPr>
                <w:rFonts w:ascii="Helvetica" w:eastAsia="Helvetica" w:hAnsi="Helvetica" w:cs="Helvetica"/>
                <w:color w:val="000000"/>
                <w:sz w:val="22"/>
                <w:szCs w:val="22"/>
              </w:rPr>
              <w:t>37 (61%)</w:t>
            </w:r>
          </w:p>
        </w:tc>
      </w:tr>
      <w:tr w:rsidR="00131286" w14:paraId="73BE77AA" w14:textId="77777777">
        <w:trPr>
          <w:cantSplit/>
          <w:jc w:val="center"/>
        </w:trPr>
        <w:tc>
          <w:tcPr>
            <w:tcW w:w="6843" w:type="dxa"/>
            <w:tcBorders>
              <w:bottom w:val="single" w:sz="8" w:space="0" w:color="000000"/>
            </w:tcBorders>
            <w:shd w:val="clear" w:color="auto" w:fill="FFFFFF"/>
            <w:tcMar>
              <w:top w:w="0" w:type="dxa"/>
              <w:left w:w="0" w:type="dxa"/>
              <w:bottom w:w="0" w:type="dxa"/>
              <w:right w:w="0" w:type="dxa"/>
            </w:tcMar>
          </w:tcPr>
          <w:p w14:paraId="53E8BAE5" w14:textId="77777777" w:rsidR="00131286" w:rsidRDefault="00D80299">
            <w:pPr>
              <w:spacing w:before="100" w:after="100" w:line="240" w:lineRule="auto"/>
              <w:ind w:left="300" w:right="100"/>
            </w:pPr>
            <w:r>
              <w:rPr>
                <w:rFonts w:ascii="Helvetica" w:eastAsia="Helvetica" w:hAnsi="Helvetica" w:cs="Helvetica"/>
                <w:color w:val="000000"/>
                <w:sz w:val="22"/>
                <w:szCs w:val="22"/>
              </w:rPr>
              <w:t>III or IV</w:t>
            </w:r>
          </w:p>
        </w:tc>
        <w:tc>
          <w:tcPr>
            <w:tcW w:w="2025" w:type="dxa"/>
            <w:tcBorders>
              <w:bottom w:val="single" w:sz="8" w:space="0" w:color="000000"/>
            </w:tcBorders>
            <w:shd w:val="clear" w:color="auto" w:fill="FFFFFF"/>
            <w:tcMar>
              <w:top w:w="0" w:type="dxa"/>
              <w:left w:w="0" w:type="dxa"/>
              <w:bottom w:w="0" w:type="dxa"/>
              <w:right w:w="0" w:type="dxa"/>
            </w:tcMar>
            <w:vAlign w:val="center"/>
          </w:tcPr>
          <w:p w14:paraId="2256B730" w14:textId="77777777" w:rsidR="00131286" w:rsidRDefault="00D80299">
            <w:pPr>
              <w:spacing w:before="100" w:after="100" w:line="240" w:lineRule="auto"/>
              <w:ind w:left="100" w:right="100"/>
              <w:jc w:val="center"/>
            </w:pPr>
            <w:r>
              <w:rPr>
                <w:rFonts w:ascii="Helvetica" w:eastAsia="Helvetica" w:hAnsi="Helvetica" w:cs="Helvetica"/>
                <w:color w:val="000000"/>
                <w:sz w:val="22"/>
                <w:szCs w:val="22"/>
              </w:rPr>
              <w:t>24 (39%)</w:t>
            </w:r>
          </w:p>
        </w:tc>
      </w:tr>
      <w:tr w:rsidR="00131286" w14:paraId="71E4BD03" w14:textId="77777777">
        <w:trPr>
          <w:cantSplit/>
          <w:jc w:val="center"/>
        </w:trPr>
        <w:tc>
          <w:tcPr>
            <w:tcW w:w="8868" w:type="dxa"/>
            <w:gridSpan w:val="2"/>
            <w:shd w:val="clear" w:color="auto" w:fill="FFFFFF"/>
            <w:tcMar>
              <w:top w:w="0" w:type="dxa"/>
              <w:left w:w="0" w:type="dxa"/>
              <w:bottom w:w="0" w:type="dxa"/>
              <w:right w:w="0" w:type="dxa"/>
            </w:tcMar>
            <w:vAlign w:val="center"/>
          </w:tcPr>
          <w:p w14:paraId="6D019CAE" w14:textId="77777777" w:rsidR="00131286" w:rsidRDefault="00D80299">
            <w:pPr>
              <w:spacing w:before="100" w:after="100" w:line="240" w:lineRule="auto"/>
              <w:ind w:left="100" w:right="100"/>
            </w:pPr>
            <w:r>
              <w:rPr>
                <w:rFonts w:ascii="Helvetica" w:eastAsia="Helvetica" w:hAnsi="Helvetica" w:cs="Helvetica"/>
                <w:color w:val="000000"/>
                <w:sz w:val="22"/>
                <w:szCs w:val="22"/>
                <w:vertAlign w:val="superscript"/>
              </w:rPr>
              <w:t>1</w:t>
            </w:r>
            <w:r>
              <w:rPr>
                <w:rFonts w:ascii="Helvetica" w:eastAsia="Helvetica" w:hAnsi="Helvetica" w:cs="Helvetica"/>
                <w:color w:val="000000"/>
                <w:sz w:val="22"/>
                <w:szCs w:val="22"/>
              </w:rPr>
              <w:t>Median (IQR); n (%)</w:t>
            </w:r>
          </w:p>
        </w:tc>
      </w:tr>
    </w:tbl>
    <w:p w14:paraId="6F341B64" w14:textId="77777777" w:rsidR="00131286" w:rsidRDefault="00D80299">
      <w:r>
        <w:br w:type="page"/>
      </w:r>
    </w:p>
    <w:p w14:paraId="3D0BBC8C" w14:textId="77777777" w:rsidR="00131286" w:rsidRDefault="00D80299">
      <w:pPr>
        <w:pStyle w:val="Figure"/>
        <w:jc w:val="center"/>
      </w:pPr>
      <w:r>
        <w:rPr>
          <w:noProof/>
        </w:rPr>
        <w:lastRenderedPageBreak/>
        <w:drawing>
          <wp:inline distT="0" distB="0" distL="0" distR="0" wp14:anchorId="64AB47EC" wp14:editId="19F30FD7">
            <wp:extent cx="4572000"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7"/>
                    <a:srcRect/>
                    <a:stretch>
                      <a:fillRect/>
                    </a:stretch>
                  </pic:blipFill>
                  <pic:spPr bwMode="auto">
                    <a:xfrm>
                      <a:off x="0" y="0"/>
                      <a:ext cx="63500" cy="50800"/>
                    </a:xfrm>
                    <a:prstGeom prst="rect">
                      <a:avLst/>
                    </a:prstGeom>
                    <a:noFill/>
                  </pic:spPr>
                </pic:pic>
              </a:graphicData>
            </a:graphic>
          </wp:inline>
        </w:drawing>
      </w:r>
    </w:p>
    <w:p w14:paraId="064D0C06" w14:textId="77777777" w:rsidR="00131286" w:rsidRDefault="00D80299">
      <w:pPr>
        <w:pStyle w:val="ImageCaption"/>
      </w:pPr>
      <w:r>
        <w:t xml:space="preserve">Figure </w:t>
      </w:r>
      <w:bookmarkStart w:id="61" w:name="roc"/>
      <w:r>
        <w:fldChar w:fldCharType="begin"/>
      </w:r>
      <w:r>
        <w:instrText>SEQ fig \* Arabic</w:instrText>
      </w:r>
      <w:r w:rsidR="00D7452F">
        <w:fldChar w:fldCharType="separate"/>
      </w:r>
      <w:r w:rsidR="00D7452F">
        <w:rPr>
          <w:noProof/>
        </w:rPr>
        <w:t>1</w:t>
      </w:r>
      <w:r>
        <w:fldChar w:fldCharType="end"/>
      </w:r>
      <w:bookmarkEnd w:id="61"/>
      <w:r>
        <w:t>: Area under receiver operating characteristics curve</w:t>
      </w:r>
    </w:p>
    <w:p w14:paraId="54D2E864" w14:textId="77777777" w:rsidR="00131286" w:rsidRDefault="00131286">
      <w:pPr>
        <w:sectPr w:rsidR="00131286">
          <w:headerReference w:type="even" r:id="rId18"/>
          <w:headerReference w:type="default" r:id="rId19"/>
          <w:footerReference w:type="even" r:id="rId20"/>
          <w:footerReference w:type="default" r:id="rId21"/>
          <w:type w:val="continuous"/>
          <w:pgSz w:w="12240" w:h="15840"/>
          <w:pgMar w:top="1440" w:right="1440" w:bottom="1440" w:left="1440" w:header="720" w:footer="720" w:gutter="0"/>
          <w:cols w:space="720"/>
        </w:sectPr>
      </w:pPr>
    </w:p>
    <w:p w14:paraId="3A2A3698" w14:textId="77777777" w:rsidR="00131286" w:rsidRDefault="00D80299">
      <w:pPr>
        <w:pStyle w:val="Figure"/>
        <w:jc w:val="center"/>
      </w:pPr>
      <w:r>
        <w:rPr>
          <w:noProof/>
        </w:rPr>
        <w:lastRenderedPageBreak/>
        <w:drawing>
          <wp:inline distT="0" distB="0" distL="0" distR="0" wp14:anchorId="1CB35C30" wp14:editId="03A69F24">
            <wp:extent cx="6401418" cy="51210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22"/>
                    <a:srcRect/>
                    <a:stretch>
                      <a:fillRect/>
                    </a:stretch>
                  </pic:blipFill>
                  <pic:spPr bwMode="auto">
                    <a:xfrm>
                      <a:off x="0" y="0"/>
                      <a:ext cx="89766" cy="71812"/>
                    </a:xfrm>
                    <a:prstGeom prst="rect">
                      <a:avLst/>
                    </a:prstGeom>
                    <a:noFill/>
                  </pic:spPr>
                </pic:pic>
              </a:graphicData>
            </a:graphic>
          </wp:inline>
        </w:drawing>
      </w:r>
    </w:p>
    <w:p w14:paraId="5FEBD3FD" w14:textId="2443B3B2" w:rsidR="00131286" w:rsidRDefault="00D80299" w:rsidP="00D7452F">
      <w:pPr>
        <w:pStyle w:val="ImageCaption"/>
      </w:pPr>
      <w:r>
        <w:t xml:space="preserve">Figure </w:t>
      </w:r>
      <w:bookmarkStart w:id="62" w:name="tpp"/>
      <w:r>
        <w:fldChar w:fldCharType="begin"/>
      </w:r>
      <w:r>
        <w:instrText>SEQ fig \* Arabic</w:instrText>
      </w:r>
      <w:r w:rsidR="00D7452F">
        <w:fldChar w:fldCharType="separate"/>
      </w:r>
      <w:r w:rsidR="00D7452F">
        <w:rPr>
          <w:noProof/>
        </w:rPr>
        <w:t>2</w:t>
      </w:r>
      <w:r>
        <w:fldChar w:fldCharType="end"/>
      </w:r>
      <w:bookmarkEnd w:id="62"/>
      <w:r>
        <w:t xml:space="preserve">: </w:t>
      </w:r>
      <w:r>
        <w:t>Threshold performance plot for all models evaluated</w:t>
      </w:r>
    </w:p>
    <w:p w14:paraId="75308C8A" w14:textId="77777777" w:rsidR="00131286" w:rsidRDefault="00D80299">
      <w:pPr>
        <w:pStyle w:val="Figure"/>
        <w:jc w:val="center"/>
      </w:pPr>
      <w:r>
        <w:rPr>
          <w:noProof/>
        </w:rPr>
        <w:lastRenderedPageBreak/>
        <w:drawing>
          <wp:inline distT="0" distB="0" distL="0" distR="0" wp14:anchorId="7CDB945C" wp14:editId="44A20D97">
            <wp:extent cx="4572000" cy="37168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rotWithShape="1">
                    <a:blip r:embed="rId23"/>
                    <a:srcRect t="31666" b="27685"/>
                    <a:stretch/>
                  </pic:blipFill>
                  <pic:spPr bwMode="auto">
                    <a:xfrm>
                      <a:off x="0" y="0"/>
                      <a:ext cx="63500" cy="51623"/>
                    </a:xfrm>
                    <a:prstGeom prst="rect">
                      <a:avLst/>
                    </a:prstGeom>
                    <a:noFill/>
                    <a:ln>
                      <a:noFill/>
                    </a:ln>
                    <a:extLst>
                      <a:ext uri="{53640926-AAD7-44D8-BBD7-CCE9431645EC}">
                        <a14:shadowObscured xmlns:a14="http://schemas.microsoft.com/office/drawing/2010/main"/>
                      </a:ext>
                    </a:extLst>
                  </pic:spPr>
                </pic:pic>
              </a:graphicData>
            </a:graphic>
          </wp:inline>
        </w:drawing>
      </w:r>
    </w:p>
    <w:p w14:paraId="628C8A8F" w14:textId="77777777" w:rsidR="00131286" w:rsidRDefault="00D80299">
      <w:pPr>
        <w:pStyle w:val="ImageCaption"/>
      </w:pPr>
      <w:r>
        <w:t xml:space="preserve">Figure </w:t>
      </w:r>
      <w:bookmarkStart w:id="63" w:name="cal"/>
      <w:r>
        <w:fldChar w:fldCharType="begin"/>
      </w:r>
      <w:r>
        <w:instrText>SEQ fig \* Arabic</w:instrText>
      </w:r>
      <w:r w:rsidR="00D7452F">
        <w:fldChar w:fldCharType="separate"/>
      </w:r>
      <w:r w:rsidR="00D7452F">
        <w:rPr>
          <w:noProof/>
        </w:rPr>
        <w:t>3</w:t>
      </w:r>
      <w:r>
        <w:fldChar w:fldCharType="end"/>
      </w:r>
      <w:bookmarkEnd w:id="63"/>
      <w:r>
        <w:t xml:space="preserve">: </w:t>
      </w:r>
      <w:bookmarkStart w:id="64" w:name="OLE_LINK7"/>
      <w:bookmarkStart w:id="65" w:name="OLE_LINK8"/>
      <w:r>
        <w:t>Calibration plot for all models evaluated</w:t>
      </w:r>
      <w:bookmarkEnd w:id="64"/>
      <w:bookmarkEnd w:id="65"/>
    </w:p>
    <w:p w14:paraId="44AC76AD" w14:textId="77777777" w:rsidR="00131286" w:rsidRDefault="00D80299">
      <w:r>
        <w:br w:type="page"/>
      </w:r>
    </w:p>
    <w:p w14:paraId="2751A5D0" w14:textId="77777777" w:rsidR="00131286" w:rsidRDefault="00D80299">
      <w:pPr>
        <w:pStyle w:val="Figure"/>
        <w:jc w:val="center"/>
      </w:pPr>
      <w:r>
        <w:rPr>
          <w:noProof/>
        </w:rPr>
        <w:lastRenderedPageBreak/>
        <w:drawing>
          <wp:inline distT="0" distB="0" distL="0" distR="0" wp14:anchorId="7AD78D88" wp14:editId="3A5D93F1">
            <wp:extent cx="9144000"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24"/>
                    <a:srcRect/>
                    <a:stretch>
                      <a:fillRect/>
                    </a:stretch>
                  </pic:blipFill>
                  <pic:spPr bwMode="auto">
                    <a:xfrm>
                      <a:off x="0" y="0"/>
                      <a:ext cx="127000" cy="50800"/>
                    </a:xfrm>
                    <a:prstGeom prst="rect">
                      <a:avLst/>
                    </a:prstGeom>
                    <a:noFill/>
                  </pic:spPr>
                </pic:pic>
              </a:graphicData>
            </a:graphic>
          </wp:inline>
        </w:drawing>
      </w:r>
    </w:p>
    <w:p w14:paraId="0252E3AC" w14:textId="77777777" w:rsidR="00131286" w:rsidRDefault="00D80299">
      <w:pPr>
        <w:pStyle w:val="ImageCaption"/>
      </w:pPr>
      <w:r>
        <w:t xml:space="preserve">Figure </w:t>
      </w:r>
      <w:bookmarkStart w:id="66" w:name="dca"/>
      <w:r>
        <w:fldChar w:fldCharType="begin"/>
      </w:r>
      <w:r>
        <w:instrText>SEQ fig \* Arabic</w:instrText>
      </w:r>
      <w:r w:rsidR="00D7452F">
        <w:fldChar w:fldCharType="separate"/>
      </w:r>
      <w:r w:rsidR="00D7452F">
        <w:rPr>
          <w:noProof/>
        </w:rPr>
        <w:t>4</w:t>
      </w:r>
      <w:r>
        <w:fldChar w:fldCharType="end"/>
      </w:r>
      <w:bookmarkEnd w:id="66"/>
      <w:r>
        <w:t>: Decision curve analysis plots. Panel A is the comparison for the aggressive alarm management strat</w:t>
      </w:r>
      <w:r>
        <w:t>egy and panel B is the comparison for the conservative alarm management strategy</w:t>
      </w:r>
    </w:p>
    <w:p w14:paraId="40F4FF6C" w14:textId="77777777" w:rsidR="00131286" w:rsidRDefault="00131286">
      <w:pPr>
        <w:sectPr w:rsidR="00131286">
          <w:headerReference w:type="even" r:id="rId25"/>
          <w:headerReference w:type="default" r:id="rId26"/>
          <w:footerReference w:type="even" r:id="rId27"/>
          <w:footerReference w:type="default" r:id="rId28"/>
          <w:type w:val="oddPage"/>
          <w:pgSz w:w="16838" w:h="11906" w:orient="landscape"/>
          <w:pgMar w:top="1440" w:right="1440" w:bottom="1440" w:left="1440" w:header="720" w:footer="720" w:gutter="0"/>
          <w:cols w:space="720"/>
        </w:sectPr>
      </w:pPr>
    </w:p>
    <w:bookmarkEnd w:id="59"/>
    <w:p w14:paraId="11F7A616" w14:textId="77777777" w:rsidR="00D80299" w:rsidRDefault="00D80299"/>
    <w:sectPr w:rsidR="00D80299" w:rsidSect="007D4BC7">
      <w:headerReference w:type="even" r:id="rId29"/>
      <w:headerReference w:type="default" r:id="rId30"/>
      <w:footerReference w:type="even" r:id="rId31"/>
      <w:footerReference w:type="default" r:id="rId32"/>
      <w:pgSz w:w="12240" w:h="15840"/>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EEA5BB" w14:textId="77777777" w:rsidR="00D80299" w:rsidRDefault="00D80299">
      <w:pPr>
        <w:spacing w:after="0" w:line="240" w:lineRule="auto"/>
      </w:pPr>
      <w:r>
        <w:separator/>
      </w:r>
    </w:p>
  </w:endnote>
  <w:endnote w:type="continuationSeparator" w:id="0">
    <w:p w14:paraId="3CE5B8B5" w14:textId="77777777" w:rsidR="00D80299" w:rsidRDefault="00D802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90398657"/>
      <w:docPartObj>
        <w:docPartGallery w:val="Page Numbers (Bottom of Page)"/>
        <w:docPartUnique/>
      </w:docPartObj>
    </w:sdtPr>
    <w:sdtEndPr>
      <w:rPr>
        <w:rStyle w:val="PageNumber"/>
      </w:rPr>
    </w:sdtEndPr>
    <w:sdtContent>
      <w:p w14:paraId="44714DD0" w14:textId="77777777" w:rsidR="00AF68E7" w:rsidRDefault="00D80299" w:rsidP="00F54FA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D7452F">
          <w:rPr>
            <w:rStyle w:val="PageNumber"/>
          </w:rPr>
          <w:fldChar w:fldCharType="separate"/>
        </w:r>
        <w:r w:rsidR="00D7452F">
          <w:rPr>
            <w:rStyle w:val="PageNumber"/>
            <w:noProof/>
          </w:rPr>
          <w:t>1</w:t>
        </w:r>
        <w:r>
          <w:rPr>
            <w:rStyle w:val="PageNumber"/>
          </w:rPr>
          <w:fldChar w:fldCharType="end"/>
        </w:r>
      </w:p>
    </w:sdtContent>
  </w:sdt>
  <w:p w14:paraId="49C2F27D" w14:textId="77777777" w:rsidR="00AF68E7" w:rsidRDefault="00D80299" w:rsidP="00AF68E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DD9222" w14:textId="77777777" w:rsidR="00AF68E7" w:rsidRDefault="00D80299" w:rsidP="00AF68E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1680857"/>
      <w:docPartObj>
        <w:docPartGallery w:val="Page Numbers (Bottom of Page)"/>
        <w:docPartUnique/>
      </w:docPartObj>
    </w:sdtPr>
    <w:sdtEndPr>
      <w:rPr>
        <w:rStyle w:val="PageNumber"/>
      </w:rPr>
    </w:sdtEndPr>
    <w:sdtContent>
      <w:p w14:paraId="10F5C084" w14:textId="77777777" w:rsidR="00AF68E7" w:rsidRDefault="00D80299" w:rsidP="00F54FA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D7452F">
          <w:rPr>
            <w:rStyle w:val="PageNumber"/>
          </w:rPr>
          <w:fldChar w:fldCharType="separate"/>
        </w:r>
        <w:r w:rsidR="00D7452F">
          <w:rPr>
            <w:rStyle w:val="PageNumber"/>
            <w:noProof/>
          </w:rPr>
          <w:t>1</w:t>
        </w:r>
        <w:r>
          <w:rPr>
            <w:rStyle w:val="PageNumber"/>
          </w:rPr>
          <w:fldChar w:fldCharType="end"/>
        </w:r>
      </w:p>
    </w:sdtContent>
  </w:sdt>
  <w:p w14:paraId="3EE73A88" w14:textId="77777777" w:rsidR="00AF68E7" w:rsidRDefault="00D80299" w:rsidP="00AF68E7">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07758E" w14:textId="77777777" w:rsidR="00AF68E7" w:rsidRDefault="00D80299" w:rsidP="00AF68E7">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87802110"/>
      <w:docPartObj>
        <w:docPartGallery w:val="Page Numbers (Bottom of Page)"/>
        <w:docPartUnique/>
      </w:docPartObj>
    </w:sdtPr>
    <w:sdtEndPr>
      <w:rPr>
        <w:rStyle w:val="PageNumber"/>
      </w:rPr>
    </w:sdtEndPr>
    <w:sdtContent>
      <w:p w14:paraId="3BCBE908" w14:textId="77777777" w:rsidR="00AF68E7" w:rsidRDefault="00D80299" w:rsidP="00F54FA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D7452F">
          <w:rPr>
            <w:rStyle w:val="PageNumber"/>
          </w:rPr>
          <w:fldChar w:fldCharType="separate"/>
        </w:r>
        <w:r w:rsidR="00D7452F">
          <w:rPr>
            <w:rStyle w:val="PageNumber"/>
            <w:noProof/>
          </w:rPr>
          <w:t>1</w:t>
        </w:r>
        <w:r>
          <w:rPr>
            <w:rStyle w:val="PageNumber"/>
          </w:rPr>
          <w:fldChar w:fldCharType="end"/>
        </w:r>
      </w:p>
    </w:sdtContent>
  </w:sdt>
  <w:p w14:paraId="18B7A430" w14:textId="77777777" w:rsidR="00AF68E7" w:rsidRDefault="00D80299" w:rsidP="00AF68E7">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0140A1" w14:textId="77777777" w:rsidR="00AF68E7" w:rsidRDefault="00D80299" w:rsidP="00AF68E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0D1B23" w14:textId="77777777" w:rsidR="00D80299" w:rsidRDefault="00D80299">
      <w:r>
        <w:separator/>
      </w:r>
    </w:p>
  </w:footnote>
  <w:footnote w:type="continuationSeparator" w:id="0">
    <w:p w14:paraId="14D14C01" w14:textId="77777777" w:rsidR="00D80299" w:rsidRDefault="00D802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670662"/>
      <w:docPartObj>
        <w:docPartGallery w:val="Page Numbers (Top of Page)"/>
        <w:docPartUnique/>
      </w:docPartObj>
    </w:sdtPr>
    <w:sdtEndPr>
      <w:rPr>
        <w:rStyle w:val="PageNumber"/>
      </w:rPr>
    </w:sdtEndPr>
    <w:sdtContent>
      <w:p w14:paraId="50A32822" w14:textId="77777777" w:rsidR="0053687A" w:rsidRDefault="00D80299" w:rsidP="00C726B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sidR="00D7452F">
          <w:rPr>
            <w:rStyle w:val="PageNumber"/>
          </w:rPr>
          <w:fldChar w:fldCharType="separate"/>
        </w:r>
        <w:r w:rsidR="00D7452F">
          <w:rPr>
            <w:rStyle w:val="PageNumber"/>
            <w:noProof/>
          </w:rPr>
          <w:t>1</w:t>
        </w:r>
        <w:r>
          <w:rPr>
            <w:rStyle w:val="PageNumber"/>
          </w:rPr>
          <w:fldChar w:fldCharType="end"/>
        </w:r>
      </w:p>
    </w:sdtContent>
  </w:sdt>
  <w:p w14:paraId="1E47703A" w14:textId="77777777" w:rsidR="0053687A" w:rsidRDefault="00D80299" w:rsidP="0053687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89561080"/>
      <w:docPartObj>
        <w:docPartGallery w:val="Page Numbers (Top of Page)"/>
        <w:docPartUnique/>
      </w:docPartObj>
    </w:sdtPr>
    <w:sdtEndPr>
      <w:rPr>
        <w:rStyle w:val="PageNumber"/>
      </w:rPr>
    </w:sdtEndPr>
    <w:sdtContent>
      <w:p w14:paraId="3623A6E4" w14:textId="77777777" w:rsidR="0053687A" w:rsidRDefault="00D80299" w:rsidP="00C726B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0C63B98" w14:textId="77777777" w:rsidR="0053687A" w:rsidRDefault="00D80299" w:rsidP="0053687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09522718"/>
      <w:docPartObj>
        <w:docPartGallery w:val="Page Numbers (Top of Page)"/>
        <w:docPartUnique/>
      </w:docPartObj>
    </w:sdtPr>
    <w:sdtEndPr>
      <w:rPr>
        <w:rStyle w:val="PageNumber"/>
      </w:rPr>
    </w:sdtEndPr>
    <w:sdtContent>
      <w:p w14:paraId="575BAE1E" w14:textId="77777777" w:rsidR="0053687A" w:rsidRDefault="00D80299" w:rsidP="00C726B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sidR="00D7452F">
          <w:rPr>
            <w:rStyle w:val="PageNumber"/>
          </w:rPr>
          <w:fldChar w:fldCharType="separate"/>
        </w:r>
        <w:r w:rsidR="00D7452F">
          <w:rPr>
            <w:rStyle w:val="PageNumber"/>
            <w:noProof/>
          </w:rPr>
          <w:t>1</w:t>
        </w:r>
        <w:r>
          <w:rPr>
            <w:rStyle w:val="PageNumber"/>
          </w:rPr>
          <w:fldChar w:fldCharType="end"/>
        </w:r>
      </w:p>
    </w:sdtContent>
  </w:sdt>
  <w:p w14:paraId="7333903C" w14:textId="77777777" w:rsidR="0053687A" w:rsidRDefault="00D80299" w:rsidP="0053687A">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24625200"/>
      <w:docPartObj>
        <w:docPartGallery w:val="Page Numbers (Top of Page)"/>
        <w:docPartUnique/>
      </w:docPartObj>
    </w:sdtPr>
    <w:sdtEndPr>
      <w:rPr>
        <w:rStyle w:val="PageNumber"/>
      </w:rPr>
    </w:sdtEndPr>
    <w:sdtContent>
      <w:p w14:paraId="27346E3C" w14:textId="77777777" w:rsidR="0053687A" w:rsidRDefault="00D80299" w:rsidP="00C726B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175B117" w14:textId="77777777" w:rsidR="0053687A" w:rsidRDefault="00D80299" w:rsidP="0053687A">
    <w:pPr>
      <w:pStyle w:val="Heade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61474394"/>
      <w:docPartObj>
        <w:docPartGallery w:val="Page Numbers (Top of Page)"/>
        <w:docPartUnique/>
      </w:docPartObj>
    </w:sdtPr>
    <w:sdtEndPr>
      <w:rPr>
        <w:rStyle w:val="PageNumber"/>
      </w:rPr>
    </w:sdtEndPr>
    <w:sdtContent>
      <w:p w14:paraId="293AFD14" w14:textId="77777777" w:rsidR="0053687A" w:rsidRDefault="00D80299" w:rsidP="00C726B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sidR="00D7452F">
          <w:rPr>
            <w:rStyle w:val="PageNumber"/>
          </w:rPr>
          <w:fldChar w:fldCharType="separate"/>
        </w:r>
        <w:r w:rsidR="00D7452F">
          <w:rPr>
            <w:rStyle w:val="PageNumber"/>
            <w:noProof/>
          </w:rPr>
          <w:t>1</w:t>
        </w:r>
        <w:r>
          <w:rPr>
            <w:rStyle w:val="PageNumber"/>
          </w:rPr>
          <w:fldChar w:fldCharType="end"/>
        </w:r>
      </w:p>
    </w:sdtContent>
  </w:sdt>
  <w:p w14:paraId="570B9EF6" w14:textId="77777777" w:rsidR="0053687A" w:rsidRDefault="00D80299" w:rsidP="0053687A">
    <w:pPr>
      <w:pStyle w:val="Header"/>
      <w:ind w:right="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20563372"/>
      <w:docPartObj>
        <w:docPartGallery w:val="Page Numbers (Top of Page)"/>
        <w:docPartUnique/>
      </w:docPartObj>
    </w:sdtPr>
    <w:sdtEndPr>
      <w:rPr>
        <w:rStyle w:val="PageNumber"/>
      </w:rPr>
    </w:sdtEndPr>
    <w:sdtContent>
      <w:p w14:paraId="2E82E45A" w14:textId="77777777" w:rsidR="0053687A" w:rsidRDefault="00D80299" w:rsidP="00C726B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E7F2F07" w14:textId="77777777" w:rsidR="0053687A" w:rsidRDefault="00D80299" w:rsidP="0053687A">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ED50BA02"/>
    <w:lvl w:ilvl="0">
      <w:start w:val="5"/>
      <w:numFmt w:val="lowerLetter"/>
      <w:lvlText w:val="%1."/>
      <w:lvlJc w:val="left"/>
      <w:pPr>
        <w:tabs>
          <w:tab w:val="num" w:pos="0"/>
        </w:tabs>
        <w:ind w:left="480" w:hanging="480"/>
      </w:pPr>
    </w:lvl>
    <w:lvl w:ilvl="1">
      <w:start w:val="5"/>
      <w:numFmt w:val="lowerLetter"/>
      <w:lvlText w:val="%2."/>
      <w:lvlJc w:val="left"/>
      <w:pPr>
        <w:tabs>
          <w:tab w:val="num" w:pos="720"/>
        </w:tabs>
        <w:ind w:left="1200" w:hanging="480"/>
      </w:pPr>
    </w:lvl>
    <w:lvl w:ilvl="2">
      <w:start w:val="5"/>
      <w:numFmt w:val="lowerLetter"/>
      <w:lvlText w:val="%3."/>
      <w:lvlJc w:val="left"/>
      <w:pPr>
        <w:tabs>
          <w:tab w:val="num" w:pos="1440"/>
        </w:tabs>
        <w:ind w:left="1920" w:hanging="480"/>
      </w:pPr>
    </w:lvl>
    <w:lvl w:ilvl="3">
      <w:start w:val="5"/>
      <w:numFmt w:val="lowerLetter"/>
      <w:lvlText w:val="%4."/>
      <w:lvlJc w:val="left"/>
      <w:pPr>
        <w:tabs>
          <w:tab w:val="num" w:pos="2160"/>
        </w:tabs>
        <w:ind w:left="2640" w:hanging="480"/>
      </w:pPr>
    </w:lvl>
    <w:lvl w:ilvl="4">
      <w:start w:val="5"/>
      <w:numFmt w:val="lowerLetter"/>
      <w:lvlText w:val="%5."/>
      <w:lvlJc w:val="left"/>
      <w:pPr>
        <w:tabs>
          <w:tab w:val="num" w:pos="2880"/>
        </w:tabs>
        <w:ind w:left="3360" w:hanging="480"/>
      </w:pPr>
    </w:lvl>
    <w:lvl w:ilvl="5">
      <w:start w:val="5"/>
      <w:numFmt w:val="lowerLetter"/>
      <w:lvlText w:val="%6."/>
      <w:lvlJc w:val="left"/>
      <w:pPr>
        <w:tabs>
          <w:tab w:val="num" w:pos="3600"/>
        </w:tabs>
        <w:ind w:left="4080" w:hanging="480"/>
      </w:pPr>
    </w:lvl>
    <w:lvl w:ilvl="6">
      <w:start w:val="5"/>
      <w:numFmt w:val="lowerLetter"/>
      <w:lvlText w:val="%7."/>
      <w:lvlJc w:val="left"/>
      <w:pPr>
        <w:tabs>
          <w:tab w:val="num" w:pos="4320"/>
        </w:tabs>
        <w:ind w:left="4800" w:hanging="480"/>
      </w:pPr>
    </w:lvl>
    <w:lvl w:ilvl="7">
      <w:start w:val="5"/>
      <w:numFmt w:val="lowerLetter"/>
      <w:lvlText w:val="%8."/>
      <w:lvlJc w:val="left"/>
      <w:pPr>
        <w:tabs>
          <w:tab w:val="num" w:pos="5040"/>
        </w:tabs>
        <w:ind w:left="5520" w:hanging="480"/>
      </w:pPr>
    </w:lvl>
    <w:lvl w:ilvl="8">
      <w:start w:val="5"/>
      <w:numFmt w:val="lowerLetter"/>
      <w:lvlText w:val="%9."/>
      <w:lvlJc w:val="left"/>
      <w:pPr>
        <w:tabs>
          <w:tab w:val="num" w:pos="5760"/>
        </w:tabs>
        <w:ind w:left="6240" w:hanging="480"/>
      </w:pPr>
    </w:lvl>
  </w:abstractNum>
  <w:abstractNum w:abstractNumId="1" w15:restartNumberingAfterBreak="0">
    <w:nsid w:val="170CD2DE"/>
    <w:multiLevelType w:val="multilevel"/>
    <w:tmpl w:val="CC28AAB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3F0AB4F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1"/>
  </w:num>
  <w:num w:numId="3">
    <w:abstractNumId w:val="0"/>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131286"/>
    <w:rsid w:val="002C146A"/>
    <w:rsid w:val="0032027E"/>
    <w:rsid w:val="00461185"/>
    <w:rsid w:val="004E29B3"/>
    <w:rsid w:val="00590D07"/>
    <w:rsid w:val="00784D58"/>
    <w:rsid w:val="008D6863"/>
    <w:rsid w:val="00B86B75"/>
    <w:rsid w:val="00BC48D5"/>
    <w:rsid w:val="00C36279"/>
    <w:rsid w:val="00D7452F"/>
    <w:rsid w:val="00D8029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CC377AE"/>
  <w15:docId w15:val="{8F46A961-E9FC-BF4F-A0A1-867495E370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A3BE0"/>
    <w:pPr>
      <w:spacing w:line="480" w:lineRule="auto"/>
    </w:pPr>
    <w:rPr>
      <w:rFonts w:asciiTheme="majorHAnsi" w:hAnsiTheme="majorHAnsi"/>
    </w:rPr>
  </w:style>
  <w:style w:type="paragraph" w:styleId="Heading1">
    <w:name w:val="heading 1"/>
    <w:basedOn w:val="Normal"/>
    <w:next w:val="BodyText"/>
    <w:uiPriority w:val="9"/>
    <w:qFormat/>
    <w:rsid w:val="00CF1DA6"/>
    <w:pPr>
      <w:keepNext/>
      <w:keepLines/>
      <w:spacing w:before="480" w:after="0"/>
      <w:outlineLvl w:val="0"/>
    </w:pPr>
    <w:rPr>
      <w:rFonts w:ascii="Arial" w:eastAsiaTheme="majorEastAsia" w:hAnsi="Arial" w:cstheme="majorBidi"/>
      <w:b/>
      <w:bCs/>
      <w:sz w:val="32"/>
      <w:szCs w:val="32"/>
    </w:rPr>
  </w:style>
  <w:style w:type="paragraph" w:styleId="Heading2">
    <w:name w:val="heading 2"/>
    <w:basedOn w:val="Normal"/>
    <w:next w:val="BodyText"/>
    <w:uiPriority w:val="9"/>
    <w:unhideWhenUsed/>
    <w:qFormat/>
    <w:rsid w:val="00CF1DA6"/>
    <w:pPr>
      <w:keepNext/>
      <w:keepLines/>
      <w:spacing w:before="200" w:after="0"/>
      <w:outlineLvl w:val="1"/>
    </w:pPr>
    <w:rPr>
      <w:rFonts w:ascii="Arial" w:eastAsiaTheme="majorEastAsia" w:hAnsi="Arial" w:cstheme="majorBidi"/>
      <w:b/>
      <w:bCs/>
      <w:sz w:val="32"/>
      <w:szCs w:val="32"/>
    </w:rPr>
  </w:style>
  <w:style w:type="paragraph" w:styleId="Heading3">
    <w:name w:val="heading 3"/>
    <w:basedOn w:val="Normal"/>
    <w:next w:val="BodyText"/>
    <w:uiPriority w:val="9"/>
    <w:unhideWhenUsed/>
    <w:qFormat/>
    <w:rsid w:val="00CF1DA6"/>
    <w:pPr>
      <w:keepNext/>
      <w:keepLines/>
      <w:spacing w:before="200" w:after="0"/>
      <w:outlineLvl w:val="2"/>
    </w:pPr>
    <w:rPr>
      <w:rFonts w:ascii="Arial" w:eastAsiaTheme="majorEastAsia" w:hAnsi="Arial" w:cstheme="majorBidi"/>
      <w:b/>
      <w:bCs/>
      <w:sz w:val="28"/>
      <w:szCs w:val="28"/>
    </w:rPr>
  </w:style>
  <w:style w:type="paragraph" w:styleId="Heading4">
    <w:name w:val="heading 4"/>
    <w:basedOn w:val="Normal"/>
    <w:next w:val="BodyText"/>
    <w:uiPriority w:val="9"/>
    <w:unhideWhenUsed/>
    <w:qFormat/>
    <w:rsid w:val="00CF1DA6"/>
    <w:pPr>
      <w:keepNext/>
      <w:keepLines/>
      <w:spacing w:before="200" w:after="0"/>
      <w:outlineLvl w:val="3"/>
    </w:pPr>
    <w:rPr>
      <w:rFonts w:ascii="Arial" w:eastAsiaTheme="majorEastAsia" w:hAnsi="Arial" w:cstheme="majorBidi"/>
      <w:b/>
      <w:bCs/>
    </w:rPr>
  </w:style>
  <w:style w:type="paragraph" w:styleId="Heading5">
    <w:name w:val="heading 5"/>
    <w:basedOn w:val="Normal"/>
    <w:next w:val="BodyText"/>
    <w:uiPriority w:val="9"/>
    <w:unhideWhenUsed/>
    <w:qFormat/>
    <w:rsid w:val="004C5304"/>
    <w:pPr>
      <w:keepNext/>
      <w:keepLines/>
      <w:pageBreakBefore/>
      <w:spacing w:before="200" w:after="0" w:line="20" w:lineRule="exact"/>
      <w:outlineLvl w:val="4"/>
    </w:pPr>
    <w:rPr>
      <w:rFonts w:eastAsiaTheme="majorEastAsia"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eastAsiaTheme="majorEastAsia"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eastAsiaTheme="majorEastAsia"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eastAsiaTheme="majorEastAsia"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eastAsiaTheme="majorEastAsia"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F1DA6"/>
    <w:pPr>
      <w:spacing w:before="180" w:after="180"/>
    </w:pPr>
    <w:rPr>
      <w:rFonts w:ascii="Arial" w:hAnsi="Arial"/>
    </w:rPr>
  </w:style>
  <w:style w:type="paragraph" w:customStyle="1" w:styleId="FirstParagraph">
    <w:name w:val="First Paragraph"/>
    <w:basedOn w:val="BodyText"/>
    <w:next w:val="BodyText"/>
    <w:qFormat/>
  </w:style>
  <w:style w:type="paragraph" w:customStyle="1" w:styleId="Compact">
    <w:name w:val="Compact"/>
    <w:basedOn w:val="BodyText"/>
    <w:qFormat/>
    <w:rsid w:val="00CF1DA6"/>
    <w:pPr>
      <w:spacing w:before="36" w:after="36"/>
    </w:pPr>
  </w:style>
  <w:style w:type="paragraph" w:styleId="Title">
    <w:name w:val="Title"/>
    <w:basedOn w:val="Normal"/>
    <w:next w:val="BodyText"/>
    <w:qFormat/>
    <w:rsid w:val="00CF1DA6"/>
    <w:pPr>
      <w:keepNext/>
      <w:keepLines/>
      <w:spacing w:before="480" w:after="240"/>
      <w:jc w:val="center"/>
    </w:pPr>
    <w:rPr>
      <w:rFonts w:ascii="Arial" w:eastAsiaTheme="majorEastAsia" w:hAnsi="Arial" w:cstheme="majorBidi"/>
      <w:b/>
      <w:bCs/>
      <w:i/>
      <w:sz w:val="36"/>
      <w:szCs w:val="36"/>
    </w:rPr>
  </w:style>
  <w:style w:type="paragraph" w:styleId="Subtitle">
    <w:name w:val="Subtitle"/>
    <w:basedOn w:val="Title"/>
    <w:next w:val="BodyText"/>
    <w:qFormat/>
    <w:rsid w:val="00C76DEB"/>
    <w:pPr>
      <w:spacing w:before="240"/>
    </w:pPr>
    <w:rPr>
      <w:sz w:val="28"/>
      <w:szCs w:val="30"/>
    </w:rPr>
  </w:style>
  <w:style w:type="paragraph" w:customStyle="1" w:styleId="Author">
    <w:name w:val="Author"/>
    <w:next w:val="BodyText"/>
    <w:qFormat/>
    <w:rsid w:val="00DA224C"/>
    <w:pPr>
      <w:keepNext/>
      <w:keepLines/>
      <w:jc w:val="center"/>
    </w:pPr>
    <w:rPr>
      <w:rFonts w:ascii="Arial" w:hAnsi="Arial"/>
    </w:r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FirstParagraph"/>
    <w:qFormat/>
    <w:rsid w:val="00D411E2"/>
    <w:pPr>
      <w:ind w:left="720" w:hanging="720"/>
    </w:pPr>
    <w:rPr>
      <w:sz w:val="20"/>
      <w:szCs w:val="18"/>
    </w:rPr>
  </w:style>
  <w:style w:type="paragraph" w:styleId="BlockText">
    <w:name w:val="Block Text"/>
    <w:basedOn w:val="BodyText"/>
    <w:next w:val="BodyText"/>
    <w:uiPriority w:val="9"/>
    <w:unhideWhenUsed/>
    <w:qFormat/>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AF68E7"/>
  </w:style>
  <w:style w:type="paragraph" w:styleId="Header">
    <w:name w:val="header"/>
    <w:basedOn w:val="Normal"/>
    <w:link w:val="HeaderChar"/>
    <w:unhideWhenUsed/>
    <w:rsid w:val="00AF68E7"/>
    <w:pPr>
      <w:tabs>
        <w:tab w:val="center" w:pos="4680"/>
        <w:tab w:val="right" w:pos="9360"/>
      </w:tabs>
      <w:spacing w:after="0" w:line="240" w:lineRule="auto"/>
    </w:pPr>
  </w:style>
  <w:style w:type="character" w:customStyle="1" w:styleId="HeaderChar">
    <w:name w:val="Header Char"/>
    <w:basedOn w:val="DefaultParagraphFont"/>
    <w:link w:val="Header"/>
    <w:rsid w:val="00AF68E7"/>
    <w:rPr>
      <w:rFonts w:asciiTheme="majorHAnsi" w:hAnsiTheme="majorHAnsi"/>
    </w:rPr>
  </w:style>
  <w:style w:type="paragraph" w:styleId="Footer">
    <w:name w:val="footer"/>
    <w:basedOn w:val="Normal"/>
    <w:link w:val="FooterChar"/>
    <w:unhideWhenUsed/>
    <w:rsid w:val="00AF68E7"/>
    <w:pPr>
      <w:tabs>
        <w:tab w:val="center" w:pos="4680"/>
        <w:tab w:val="right" w:pos="9360"/>
      </w:tabs>
      <w:spacing w:after="0" w:line="240" w:lineRule="auto"/>
    </w:pPr>
  </w:style>
  <w:style w:type="character" w:customStyle="1" w:styleId="FooterChar">
    <w:name w:val="Footer Char"/>
    <w:basedOn w:val="DefaultParagraphFont"/>
    <w:link w:val="Footer"/>
    <w:rsid w:val="00AF68E7"/>
    <w:rPr>
      <w:rFonts w:asciiTheme="majorHAnsi" w:hAnsiTheme="majorHAnsi"/>
    </w:rPr>
  </w:style>
  <w:style w:type="character" w:styleId="PageNumber">
    <w:name w:val="page number"/>
    <w:basedOn w:val="DefaultParagraphFont"/>
    <w:semiHidden/>
    <w:unhideWhenUsed/>
    <w:rsid w:val="00AF68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R-project.org/" TargetMode="External"/><Relationship Id="rId18" Type="http://schemas.openxmlformats.org/officeDocument/2006/relationships/header" Target="header1.xml"/><Relationship Id="rId26" Type="http://schemas.openxmlformats.org/officeDocument/2006/relationships/header" Target="header4.xml"/><Relationship Id="rId3" Type="http://schemas.openxmlformats.org/officeDocument/2006/relationships/settings" Target="settings.xml"/><Relationship Id="rId21" Type="http://schemas.openxmlformats.org/officeDocument/2006/relationships/footer" Target="footer2.xml"/><Relationship Id="rId34" Type="http://schemas.openxmlformats.org/officeDocument/2006/relationships/theme" Target="theme/theme1.xml"/><Relationship Id="rId7" Type="http://schemas.openxmlformats.org/officeDocument/2006/relationships/hyperlink" Target="mailto:aaron.conway@utoronto.ca" TargetMode="External"/><Relationship Id="rId12" Type="http://schemas.openxmlformats.org/officeDocument/2006/relationships/hyperlink" Target="https://doi.org/10.1111/jocn.12147" TargetMode="External"/><Relationship Id="rId17" Type="http://schemas.openxmlformats.org/officeDocument/2006/relationships/image" Target="media/image1.png"/><Relationship Id="rId25" Type="http://schemas.openxmlformats.org/officeDocument/2006/relationships/header" Target="header3.xm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github.com/ML4LHS/runway" TargetMode="External"/><Relationship Id="rId20" Type="http://schemas.openxmlformats.org/officeDocument/2006/relationships/footer" Target="footer1.xml"/><Relationship Id="rId29" Type="http://schemas.openxmlformats.org/officeDocument/2006/relationships/header" Target="header5.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i.org/10.1111/jan.12337" TargetMode="External"/><Relationship Id="rId24" Type="http://schemas.openxmlformats.org/officeDocument/2006/relationships/image" Target="media/image4.png"/><Relationship Id="rId32" Type="http://schemas.openxmlformats.org/officeDocument/2006/relationships/footer" Target="footer6.xml"/><Relationship Id="rId5" Type="http://schemas.openxmlformats.org/officeDocument/2006/relationships/footnotes" Target="footnotes.xml"/><Relationship Id="rId15" Type="http://schemas.openxmlformats.org/officeDocument/2006/relationships/hyperlink" Target="https://doi.org/10.6084/m9.figshare.14320874.v3" TargetMode="External"/><Relationship Id="rId23" Type="http://schemas.openxmlformats.org/officeDocument/2006/relationships/image" Target="media/image3.png"/><Relationship Id="rId28" Type="http://schemas.openxmlformats.org/officeDocument/2006/relationships/footer" Target="footer4.xml"/><Relationship Id="rId10" Type="http://schemas.openxmlformats.org/officeDocument/2006/relationships/hyperlink" Target="https://doi.org/10.1016/j.aucc.2013.05.003" TargetMode="External"/><Relationship Id="rId19" Type="http://schemas.openxmlformats.org/officeDocument/2006/relationships/header" Target="header2.xml"/><Relationship Id="rId31" Type="http://schemas.openxmlformats.org/officeDocument/2006/relationships/footer" Target="footer5.xml"/><Relationship Id="rId4" Type="http://schemas.openxmlformats.org/officeDocument/2006/relationships/webSettings" Target="webSettings.xml"/><Relationship Id="rId9" Type="http://schemas.openxmlformats.org/officeDocument/2006/relationships/hyperlink" Target="https://doi.org/10.1007/s12630-018-1230-z" TargetMode="External"/><Relationship Id="rId14" Type="http://schemas.openxmlformats.org/officeDocument/2006/relationships/hyperlink" Target="https://doi.org/10.5281/zenodo.4646147" TargetMode="External"/><Relationship Id="rId22" Type="http://schemas.openxmlformats.org/officeDocument/2006/relationships/image" Target="media/image2.png"/><Relationship Id="rId27" Type="http://schemas.openxmlformats.org/officeDocument/2006/relationships/footer" Target="footer3.xml"/><Relationship Id="rId30" Type="http://schemas.openxmlformats.org/officeDocument/2006/relationships/header" Target="header6.xml"/><Relationship Id="rId8" Type="http://schemas.openxmlformats.org/officeDocument/2006/relationships/hyperlink" Target="mailto:aaron.conway@utoronto.c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32</Pages>
  <Words>5714</Words>
  <Characters>32573</Characters>
  <Application>Microsoft Office Word</Application>
  <DocSecurity>0</DocSecurity>
  <Lines>271</Lines>
  <Paragraphs>76</Paragraphs>
  <ScaleCrop>false</ScaleCrop>
  <Company/>
  <LinksUpToDate>false</LinksUpToDate>
  <CharactersWithSpaces>38211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Predicting prolonged apnea during nurse-administered procedural sedation using machine learning</dc:title>
  <dc:creator>Aaron Conway PhD1,2,3,✉, Carla Jungquist PhD4, Kristina Chang MScN1, Navpreet Kamboj BScN2, Joanna Sutherland MBBS5, Sebastian Mafeld6, and Matteo Parotto MD, PhD7,8</dc:creator>
  <cp:keywords/>
  <cp:lastModifiedBy>Aaron Conway</cp:lastModifiedBy>
  <cp:revision>5</cp:revision>
  <dcterms:created xsi:type="dcterms:W3CDTF">2021-03-29T20:49:00Z</dcterms:created>
  <dcterms:modified xsi:type="dcterms:W3CDTF">2021-03-29T21:10:00Z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Extras/references.bib</vt:lpwstr>
  </property>
  <property fmtid="{D5CDD505-2E9C-101B-9397-08002B2CF9AE}" pid="3" name="csl">
    <vt:lpwstr>Extras/jmir.csl</vt:lpwstr>
  </property>
  <property fmtid="{D5CDD505-2E9C-101B-9397-08002B2CF9AE}" pid="4" name="output">
    <vt:lpwstr/>
  </property>
</Properties>
</file>